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4.9.0.0 -->
  <w:body>
    <w:p>
      <w:pPr>
        <w:adjustRightInd w:val="0"/>
        <w:snapToGrid w:val="0"/>
        <w:spacing w:line="300" w:lineRule="auto"/>
        <w:jc w:val="left"/>
        <w:rPr>
          <w:b/>
          <w:bCs/>
          <w:snapToGrid w:val="0"/>
          <w:kern w:val="0"/>
          <w:sz w:val="28"/>
          <w:szCs w:val="28"/>
        </w:rPr>
      </w:pPr>
      <w:bookmarkStart w:id="0" w:name="_GoBack"/>
      <w:bookmarkEnd w:id="0"/>
      <w:r>
        <w:rPr>
          <w:b/>
          <w:bCs/>
          <w:snapToGrid w:val="0"/>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3" name="文本框 299"/>
                <wp:cNvGraphicFramePr/>
                <a:graphic xmlns:a="http://schemas.openxmlformats.org/drawingml/2006/main">
                  <a:graphicData uri="http://schemas.microsoft.com/office/word/2010/wordprocessingShape">
                    <wps:wsp xmlns:wps="http://schemas.microsoft.com/office/word/2010/wordprocessingShape">
                      <wps:cNvSpPr txBox="1"/>
                      <wps:spPr>
                        <a:xfrm>
                          <a:off x="0" y="0"/>
                          <a:ext cx="3743960" cy="594360"/>
                        </a:xfrm>
                        <a:prstGeom prst="rect">
                          <a:avLst/>
                        </a:prstGeom>
                        <a:solidFill>
                          <a:srgbClr val="FFFFFF"/>
                        </a:solidFill>
                        <a:ln w="9525">
                          <a:solidFill>
                            <a:srgbClr val="FFFFFF"/>
                          </a:solidFill>
                          <a:miter lim="0"/>
                          <a:headEnd/>
                          <a:tailEnd/>
                        </a:ln>
                      </wps:spPr>
                      <wps:txbx>
                        <w:txbxContent>
                          <w:p>
                            <w:pPr>
                              <w:spacing w:line="400" w:lineRule="exact"/>
                              <w:rPr>
                                <w:rFonts w:ascii="仿宋_GB2312" w:eastAsia="仿宋_GB2312"/>
                                <w:b/>
                                <w:sz w:val="26"/>
                                <w:szCs w:val="26"/>
                              </w:rPr>
                            </w:pPr>
                            <w:r>
                              <w:rPr>
                                <w:rFonts w:ascii="仿宋_GB2312" w:eastAsia="仿宋_GB2312" w:hint="eastAsia"/>
                                <w:b/>
                                <w:sz w:val="26"/>
                                <w:szCs w:val="26"/>
                              </w:rPr>
                              <w:t>深 圳 市 中 正 招 标 有 限 公 司</w:t>
                            </w:r>
                          </w:p>
                          <w:p>
                            <w:pPr>
                              <w:spacing w:line="400" w:lineRule="exact"/>
                              <w:rPr>
                                <w:rFonts w:ascii="仿宋_GB2312" w:eastAsia="仿宋_GB2312"/>
                                <w:sz w:val="22"/>
                              </w:rPr>
                            </w:pPr>
                            <w:r>
                              <w:rPr>
                                <w:rFonts w:ascii="仿宋_GB2312" w:eastAsia="仿宋_GB2312" w:hint="eastAsia"/>
                                <w:sz w:val="22"/>
                              </w:rPr>
                              <w:t>SHENZHEN ZHONGZHENG TENDERING CO.,LTD.</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99" o:spid="_x0000_s1025" type="#_x0000_t202" style="height:46.8pt;margin-left:45.7pt;margin-top:-3.3pt;mso-height-relative:page;mso-width-relative:page;position:absolute;width:294.8pt;z-index:251659264" coordsize="21600,21600" filled="t" fillcolor="white" stroked="t">
                <v:stroke joinstyle="miter"/>
                <o:lock v:ext="edit" aspectratio="f"/>
                <v:textbox>
                  <w:txbxContent>
                    <w:p>
                      <w:pPr>
                        <w:spacing w:line="400" w:lineRule="exact"/>
                        <w:rPr>
                          <w:rFonts w:ascii="仿宋_GB2312" w:eastAsia="仿宋_GB2312"/>
                          <w:b/>
                          <w:sz w:val="26"/>
                          <w:szCs w:val="26"/>
                        </w:rPr>
                      </w:pPr>
                      <w:r>
                        <w:rPr>
                          <w:rFonts w:ascii="仿宋_GB2312" w:eastAsia="仿宋_GB2312" w:hint="eastAsia"/>
                          <w:b/>
                          <w:sz w:val="26"/>
                          <w:szCs w:val="26"/>
                        </w:rPr>
                        <w:t>深 圳 市 中 正 招 标 有 限 公 司</w:t>
                      </w:r>
                    </w:p>
                    <w:p>
                      <w:pPr>
                        <w:spacing w:line="400" w:lineRule="exact"/>
                        <w:rPr>
                          <w:rFonts w:ascii="仿宋_GB2312" w:eastAsia="仿宋_GB2312"/>
                          <w:sz w:val="22"/>
                        </w:rPr>
                      </w:pPr>
                      <w:r>
                        <w:rPr>
                          <w:rFonts w:ascii="仿宋_GB2312" w:eastAsia="仿宋_GB2312" w:hint="eastAsia"/>
                          <w:sz w:val="22"/>
                        </w:rPr>
                        <w:t>SHENZHEN ZHONGZHENG TENDERING CO.,LTD.</w:t>
                      </w:r>
                    </w:p>
                  </w:txbxContent>
                </v:textbox>
              </v:shape>
            </w:pict>
          </mc:Fallback>
        </mc:AlternateContent>
      </w:r>
      <w:r>
        <w:rPr>
          <w:b/>
          <w:kern w:val="0"/>
          <w:sz w:val="28"/>
          <w:szCs w:val="28"/>
        </w:rPr>
        <w:drawing>
          <wp:inline distT="0" distB="0" distL="0" distR="0">
            <wp:extent cx="552450" cy="476250"/>
            <wp:effectExtent l="57150" t="19050" r="190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xmlns:r="http://schemas.openxmlformats.org/officeDocument/2006/relationships" r:embed="rId5" cstate="print"/>
                    <a:stretch>
                      <a:fillRect/>
                    </a:stretch>
                  </pic:blipFill>
                  <pic:spPr>
                    <a:xfrm>
                      <a:off x="0" y="0"/>
                      <a:ext cx="552450" cy="476250"/>
                    </a:xfrm>
                    <a:prstGeom prst="rect">
                      <a:avLst/>
                    </a:prstGeom>
                    <a:solidFill>
                      <a:schemeClr val="bg1"/>
                    </a:solidFill>
                    <a:ln w="9525">
                      <a:noFill/>
                      <a:miter lim="800000"/>
                      <a:headEnd/>
                      <a:tailEnd/>
                    </a:ln>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103" w:hanging="323" w:leftChars="-203"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eastAsiaTheme="minorEastAsia" w:hAnsiTheme="minorEastAsia" w:hint="eastAsia"/>
          <w:b/>
          <w:snapToGrid w:val="0"/>
          <w:kern w:val="0"/>
          <w:sz w:val="70"/>
          <w:szCs w:val="70"/>
          <w:lang w:eastAsia="zh-CN"/>
        </w:rPr>
      </w:pPr>
      <w:r>
        <w:rPr>
          <w:rFonts w:asciiTheme="minorEastAsia" w:eastAsiaTheme="minorEastAsia" w:hAnsiTheme="minorEastAsia" w:hint="eastAsia"/>
          <w:b/>
          <w:bCs/>
          <w:snapToGrid w:val="0"/>
          <w:kern w:val="0"/>
          <w:sz w:val="70"/>
          <w:szCs w:val="70"/>
          <w:lang w:eastAsia="zh-CN"/>
        </w:rPr>
        <w:t>2024年高压设施维护服务</w:t>
      </w:r>
    </w:p>
    <w:p>
      <w:pPr>
        <w:adjustRightInd w:val="0"/>
        <w:snapToGrid w:val="0"/>
        <w:spacing w:line="300" w:lineRule="auto"/>
        <w:jc w:val="center"/>
        <w:rPr>
          <w:rFonts w:asciiTheme="minorEastAsia" w:eastAsiaTheme="minorEastAsia" w:hAnsiTheme="minorEastAsia"/>
          <w:b/>
          <w:snapToGrid w:val="0"/>
          <w:kern w:val="0"/>
          <w:sz w:val="44"/>
          <w:szCs w:val="44"/>
        </w:rPr>
      </w:pPr>
    </w:p>
    <w:p>
      <w:pPr>
        <w:adjustRightInd w:val="0"/>
        <w:snapToGrid w:val="0"/>
        <w:spacing w:line="300" w:lineRule="auto"/>
        <w:jc w:val="center"/>
        <w:rPr>
          <w:rFonts w:asciiTheme="minorEastAsia" w:eastAsiaTheme="minorEastAsia" w:hAnsiTheme="minorEastAsia"/>
          <w:b/>
          <w:snapToGrid w:val="0"/>
          <w:kern w:val="0"/>
          <w:sz w:val="44"/>
          <w:szCs w:val="44"/>
        </w:rPr>
      </w:pPr>
    </w:p>
    <w:p>
      <w:pPr>
        <w:adjustRightInd w:val="0"/>
        <w:snapToGrid w:val="0"/>
        <w:spacing w:line="300" w:lineRule="auto"/>
        <w:jc w:val="center"/>
        <w:rPr>
          <w:rFonts w:asciiTheme="minorEastAsia" w:eastAsiaTheme="minorEastAsia" w:hAnsiTheme="minorEastAsia"/>
          <w:b/>
          <w:snapToGrid w:val="0"/>
          <w:kern w:val="0"/>
          <w:sz w:val="44"/>
          <w:szCs w:val="44"/>
        </w:rPr>
      </w:pPr>
    </w:p>
    <w:p>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服务类招标文件</w:t>
      </w:r>
    </w:p>
    <w:p>
      <w:pPr>
        <w:adjustRightInd w:val="0"/>
        <w:snapToGrid w:val="0"/>
        <w:spacing w:line="300" w:lineRule="auto"/>
        <w:jc w:val="center"/>
        <w:rPr>
          <w:rFonts w:asciiTheme="minorEastAsia" w:eastAsiaTheme="minorEastAsia" w:hAnsiTheme="minorEastAsia"/>
          <w:b/>
          <w:snapToGrid w:val="0"/>
          <w:kern w:val="0"/>
          <w:sz w:val="32"/>
        </w:rPr>
      </w:pPr>
    </w:p>
    <w:p>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hint="eastAsia"/>
          <w:b/>
          <w:snapToGrid w:val="0"/>
          <w:kern w:val="0"/>
          <w:sz w:val="32"/>
          <w:lang w:eastAsia="zh-CN"/>
        </w:rPr>
        <w:t>SZDL2023002471</w:t>
      </w:r>
    </w:p>
    <w:p>
      <w:pPr>
        <w:adjustRightInd w:val="0"/>
        <w:snapToGrid w:val="0"/>
        <w:spacing w:line="300" w:lineRule="auto"/>
        <w:jc w:val="center"/>
        <w:rPr>
          <w:rFonts w:asciiTheme="minorEastAsia" w:eastAsiaTheme="minorEastAsia" w:hAnsiTheme="minorEastAsia"/>
          <w:b/>
          <w:snapToGrid w:val="0"/>
          <w:kern w:val="0"/>
          <w:sz w:val="18"/>
          <w:szCs w:val="18"/>
        </w:rPr>
      </w:pPr>
    </w:p>
    <w:p>
      <w:pPr>
        <w:adjustRightInd w:val="0"/>
        <w:snapToGrid w:val="0"/>
        <w:spacing w:line="300" w:lineRule="auto"/>
        <w:jc w:val="center"/>
        <w:rPr>
          <w:rFonts w:asciiTheme="minorEastAsia" w:eastAsiaTheme="minorEastAsia" w:hAnsiTheme="minorEastAsia"/>
          <w:b/>
          <w:snapToGrid w:val="0"/>
          <w:kern w:val="0"/>
          <w:sz w:val="44"/>
        </w:rPr>
      </w:pPr>
    </w:p>
    <w:p>
      <w:pPr>
        <w:adjustRightInd w:val="0"/>
        <w:snapToGrid w:val="0"/>
        <w:spacing w:line="300" w:lineRule="auto"/>
        <w:jc w:val="center"/>
        <w:rPr>
          <w:rFonts w:asciiTheme="minorEastAsia" w:eastAsiaTheme="minorEastAsia" w:hAnsiTheme="minorEastAsia"/>
          <w:b/>
          <w:snapToGrid w:val="0"/>
          <w:kern w:val="0"/>
          <w:sz w:val="44"/>
        </w:rPr>
      </w:pPr>
      <w:r>
        <w:rPr>
          <w:rFonts w:asciiTheme="minorEastAsia" w:eastAsiaTheme="minorEastAsia" w:hAnsiTheme="minorEastAsia"/>
          <w:b/>
          <w:snapToGrid w:val="0"/>
          <w:kern w:val="0"/>
          <w:sz w:val="44"/>
        </w:rPr>
        <w:t xml:space="preserve"> </w:t>
      </w:r>
    </w:p>
    <w:p>
      <w:pPr>
        <w:pStyle w:val="Date"/>
        <w:adjustRightInd w:val="0"/>
        <w:snapToGrid w:val="0"/>
        <w:spacing w:line="300" w:lineRule="auto"/>
        <w:jc w:val="center"/>
        <w:rPr>
          <w:rFonts w:asciiTheme="minorEastAsia" w:eastAsiaTheme="minorEastAsia" w:hAnsiTheme="minorEastAsia"/>
          <w:b/>
          <w:snapToGrid w:val="0"/>
          <w:sz w:val="30"/>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rPr>
          <w:rFonts w:asciiTheme="minorEastAsia" w:eastAsiaTheme="minorEastAsia" w:hAnsiTheme="minorEastAsia"/>
        </w:rPr>
      </w:pPr>
    </w:p>
    <w:p>
      <w:pPr>
        <w:pStyle w:val="Date"/>
        <w:adjustRightInd w:val="0"/>
        <w:snapToGrid w:val="0"/>
        <w:spacing w:line="300" w:lineRule="auto"/>
        <w:jc w:val="center"/>
        <w:rPr>
          <w:rFonts w:asciiTheme="minorEastAsia" w:eastAsiaTheme="minorEastAsia" w:hAnsiTheme="minorEastAsia"/>
        </w:rPr>
      </w:pPr>
      <w:r>
        <w:rPr>
          <w:rFonts w:asciiTheme="minorEastAsia" w:eastAsiaTheme="minorEastAsia" w:hAnsiTheme="minorEastAsia" w:hint="eastAsia"/>
          <w:b/>
          <w:snapToGrid w:val="0"/>
          <w:sz w:val="30"/>
        </w:rPr>
        <w:t>二〇二三年十</w:t>
      </w:r>
      <w:r>
        <w:rPr>
          <w:rFonts w:asciiTheme="minorEastAsia" w:eastAsiaTheme="minorEastAsia" w:hAnsiTheme="minorEastAsia" w:hint="eastAsia"/>
          <w:b/>
          <w:snapToGrid w:val="0"/>
          <w:sz w:val="30"/>
          <w:lang w:val="en-US" w:eastAsia="zh-CN"/>
        </w:rPr>
        <w:t>二</w:t>
      </w:r>
      <w:r>
        <w:rPr>
          <w:rFonts w:asciiTheme="minorEastAsia" w:eastAsiaTheme="minorEastAsia" w:hAnsiTheme="minorEastAsia" w:hint="eastAsia"/>
          <w:b/>
          <w:snapToGrid w:val="0"/>
          <w:sz w:val="30"/>
        </w:rPr>
        <w:t>月</w:t>
      </w:r>
    </w:p>
    <w:p>
      <w:pPr>
        <w:pStyle w:val="NormalWeb"/>
        <w:spacing w:before="454" w:beforeAutospacing="0" w:after="454" w:afterAutospacing="0"/>
        <w:ind w:left="454" w:right="454"/>
        <w:jc w:val="center"/>
        <w:outlineLvl w:val="0"/>
        <w:rPr>
          <w:sz w:val="40"/>
          <w:szCs w:val="40"/>
        </w:rPr>
      </w:pPr>
    </w:p>
    <w:p>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pPr>
        <w:spacing w:line="360" w:lineRule="auto"/>
        <w:ind w:firstLine="420" w:firstLineChars="200"/>
        <w:rPr>
          <w:rFonts w:ascii="仿宋" w:eastAsia="仿宋" w:hAnsi="仿宋"/>
          <w:sz w:val="24"/>
        </w:rPr>
      </w:pP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一、《深圳经济特区政府采购条例》</w:t>
      </w: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第五十七条</w:t>
      </w:r>
      <w:r>
        <w:rPr>
          <w:rFonts w:asciiTheme="minorEastAsia" w:eastAsiaTheme="minorEastAsia" w:hAnsiTheme="minorEastAsia"/>
          <w:szCs w:val="21"/>
        </w:rPr>
        <w:t xml:space="preserve"> </w:t>
      </w:r>
      <w:r>
        <w:rPr>
          <w:rFonts w:asciiTheme="minorEastAsia" w:eastAsiaTheme="minorEastAsia" w:hAnsiTheme="minorEastAsia" w:hint="eastAsia"/>
          <w:szCs w:val="21"/>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（一）在采购活动中应当回避而未回避的；</w:t>
      </w: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（二）未按本条例规定签订、履行采购合同，造成严重后果的；</w:t>
      </w: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（三）隐瞒真实情况，提供虚假资料的；</w:t>
      </w: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（四）以非法手段排斥其他供应商参与竞争的；</w:t>
      </w: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（五）与其他采购参加人串通投标的；</w:t>
      </w: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（六）恶意投诉的；</w:t>
      </w: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（七）向采购项目相关人行贿或者提供其他不当利益的；</w:t>
      </w: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（八）阻碍、抗拒主管部门监督检查的；</w:t>
      </w: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（九）其他违反本条例规定的行为。</w:t>
      </w:r>
    </w:p>
    <w:p>
      <w:pPr>
        <w:widowControl/>
        <w:spacing w:after="120"/>
        <w:jc w:val="left"/>
        <w:rPr>
          <w:rFonts w:ascii="Times New Roman" w:hAnsi="Times New Roman" w:eastAsiaTheme="minorEastAsia"/>
          <w:kern w:val="0"/>
          <w:sz w:val="24"/>
          <w:szCs w:val="24"/>
        </w:rPr>
      </w:pP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二、《深圳经济特区政府采购条例实施细则》</w:t>
      </w:r>
    </w:p>
    <w:p>
      <w:pPr>
        <w:spacing w:line="440" w:lineRule="exact"/>
        <w:ind w:firstLine="420" w:firstLineChars="200"/>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第七十九条 供应商有下列情形的，属于采购条例所称的串通投标行为，按照采购条例第五十七条有关规定处理：</w:t>
      </w:r>
    </w:p>
    <w:p>
      <w:pPr>
        <w:spacing w:line="440" w:lineRule="exact"/>
        <w:ind w:firstLine="420" w:firstLineChars="200"/>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（一）投标供应商之间相互约定给予未中标的供应商利益补偿；</w:t>
      </w:r>
    </w:p>
    <w:p>
      <w:pPr>
        <w:spacing w:line="440" w:lineRule="exact"/>
        <w:ind w:firstLine="420" w:firstLineChars="200"/>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20" w:firstLineChars="200"/>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（三）不同投标供应商的投标文件由同一单位或者同一人编制，或者由同一人分阶段参与编制的；</w:t>
      </w:r>
    </w:p>
    <w:p>
      <w:pPr>
        <w:spacing w:line="440" w:lineRule="exact"/>
        <w:ind w:firstLine="420" w:firstLineChars="200"/>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（四）不同投标供应商的投标文件或部分投标文件相互混装；</w:t>
      </w:r>
    </w:p>
    <w:p>
      <w:pPr>
        <w:spacing w:line="440" w:lineRule="exact"/>
        <w:ind w:firstLine="420" w:firstLineChars="200"/>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（五）不同投标供应商的投标文件内容存在非正常一致；</w:t>
      </w:r>
    </w:p>
    <w:p>
      <w:pPr>
        <w:spacing w:line="440" w:lineRule="exact"/>
        <w:ind w:firstLine="420" w:firstLineChars="200"/>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（六）由同一单位工作人员为两家以上（含两家）供应商进行同一项投标活动的；</w:t>
      </w:r>
    </w:p>
    <w:p>
      <w:pPr>
        <w:spacing w:line="440" w:lineRule="exact"/>
        <w:ind w:firstLine="420" w:firstLineChars="200"/>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（七）主管部门依照法律、法规认定的其他情形。</w:t>
      </w: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第八十一条 供应商有下列情形之一的，属于隐瞒真实情况，提供虚假资料，按照采购条例第五十七的有关规定处理：</w:t>
      </w: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（一）通过转让或者租借等方式从其他单位获取资格或者资质证书投标的；</w:t>
      </w: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（二）由其他单位或者其他单位负责人在投标供应商编制的投标文件上加盖印章或者签字的；</w:t>
      </w: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（三）项目负责人或者主要技术人员不是本单位人员的；</w:t>
      </w: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（四）投标保证金不是从投标供应商基本账户转出的；</w:t>
      </w:r>
    </w:p>
    <w:p>
      <w:pPr>
        <w:spacing w:line="44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（五）其他隐瞒真实情况、提供虚假资料的行为。</w:t>
      </w:r>
    </w:p>
    <w:p>
      <w:pPr>
        <w:spacing w:line="440" w:lineRule="exact"/>
        <w:ind w:firstLine="372" w:firstLineChars="177"/>
        <w:rPr>
          <w:rFonts w:asciiTheme="minorEastAsia" w:eastAsiaTheme="minorEastAsia" w:hAnsiTheme="minorEastAsia"/>
          <w:szCs w:val="21"/>
        </w:rPr>
      </w:pPr>
      <w:r>
        <w:rPr>
          <w:rFonts w:asciiTheme="minorEastAsia" w:eastAsiaTheme="minorEastAsia" w:hAnsiTheme="minorEastAsia" w:hint="eastAsia"/>
          <w:szCs w:val="21"/>
        </w:rPr>
        <w:t>投标供应商不能提供项目负责人或者主要技术人员的劳动合同、社会保险等劳动关系证明材料的，视为存在前款第（三）项规定的情形。</w:t>
      </w:r>
    </w:p>
    <w:p>
      <w:pPr>
        <w:widowControl/>
        <w:spacing w:after="120"/>
        <w:jc w:val="left"/>
        <w:rPr>
          <w:rFonts w:ascii="Times New Roman" w:hAnsi="Times New Roman" w:eastAsiaTheme="minorEastAsia"/>
          <w:kern w:val="0"/>
          <w:sz w:val="24"/>
          <w:szCs w:val="24"/>
        </w:rPr>
      </w:pPr>
    </w:p>
    <w:p>
      <w:pPr>
        <w:spacing w:line="440" w:lineRule="exact"/>
        <w:ind w:firstLine="372" w:firstLineChars="177"/>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372" w:firstLineChars="177"/>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投标供应商涉嫌存在串通投标等违法行为的，将书面报告财政主管部门依法处理。</w:t>
      </w:r>
    </w:p>
    <w:p>
      <w:pPr>
        <w:spacing w:line="360" w:lineRule="auto"/>
        <w:ind w:firstLine="420" w:firstLineChars="200"/>
        <w:rPr>
          <w:sz w:val="40"/>
          <w:szCs w:val="40"/>
        </w:rPr>
      </w:pPr>
      <w:r>
        <w:rPr>
          <w:rFonts w:ascii="仿宋" w:eastAsia="仿宋" w:hAnsi="仿宋" w:hint="eastAsia"/>
          <w:sz w:val="24"/>
        </w:rPr>
        <w:cr/>
      </w:r>
    </w:p>
    <w:p>
      <w:pPr>
        <w:widowControl/>
        <w:jc w:val="left"/>
        <w:rPr>
          <w:rFonts w:ascii="宋体" w:hAnsi="宋体" w:cs="宋体"/>
          <w:kern w:val="0"/>
          <w:sz w:val="40"/>
          <w:szCs w:val="40"/>
        </w:rPr>
      </w:pPr>
      <w:r>
        <w:rPr>
          <w:sz w:val="40"/>
          <w:szCs w:val="40"/>
        </w:rPr>
        <w:br w:type="page"/>
      </w:r>
    </w:p>
    <w:p>
      <w:pPr>
        <w:pStyle w:val="NormalWeb"/>
        <w:spacing w:before="454" w:beforeAutospacing="0" w:after="454" w:afterAutospacing="0"/>
        <w:ind w:left="454" w:right="454"/>
        <w:jc w:val="center"/>
        <w:outlineLvl w:val="0"/>
        <w:rPr>
          <w:rFonts w:eastAsia="宋体" w:hint="eastAsia"/>
          <w:sz w:val="40"/>
          <w:szCs w:val="40"/>
          <w:lang w:eastAsia="zh-CN"/>
        </w:rPr>
      </w:pPr>
      <w:r>
        <w:rPr>
          <w:rFonts w:hint="eastAsia"/>
          <w:sz w:val="40"/>
          <w:szCs w:val="40"/>
          <w:lang w:eastAsia="zh-CN"/>
        </w:rPr>
        <w:t>2024年高压设施维护服务</w:t>
      </w:r>
    </w:p>
    <w:p>
      <w:pPr>
        <w:pStyle w:val="NormalWeb"/>
        <w:jc w:val="center"/>
        <w:outlineLvl w:val="1"/>
        <w:rPr>
          <w:rFonts w:ascii="黑体" w:eastAsia="黑体" w:hAnsi="黑体"/>
          <w:sz w:val="40"/>
          <w:szCs w:val="40"/>
        </w:rPr>
      </w:pPr>
      <w:r>
        <w:rPr>
          <w:rFonts w:ascii="黑体" w:eastAsia="黑体" w:hAnsi="黑体" w:hint="eastAsia"/>
          <w:sz w:val="40"/>
          <w:szCs w:val="40"/>
        </w:rPr>
        <w:t>招标文件信息</w:t>
      </w:r>
    </w:p>
    <w:tbl>
      <w:tblPr>
        <w:tblStyle w:val="TableNormal"/>
        <w:tblW w:w="7938" w:type="dxa"/>
        <w:jc w:val="center"/>
        <w:tblCellSpacing w:w="0" w:type="dxa"/>
        <w:tblLayout w:type="fixed"/>
        <w:tblCellMar>
          <w:top w:w="45" w:type="dxa"/>
          <w:left w:w="45" w:type="dxa"/>
          <w:bottom w:w="45" w:type="dxa"/>
          <w:right w:w="45" w:type="dxa"/>
        </w:tblCellMar>
      </w:tblPr>
      <w:tblGrid>
        <w:gridCol w:w="2722"/>
        <w:gridCol w:w="5216"/>
      </w:tblGrid>
      <w:tr>
        <w:tblPrEx>
          <w:tblW w:w="7938" w:type="dxa"/>
          <w:jc w:val="center"/>
          <w:tblCellSpacing w:w="0" w:type="dxa"/>
          <w:tblLayout w:type="fixed"/>
          <w:tblCellMar>
            <w:top w:w="45" w:type="dxa"/>
            <w:left w:w="45" w:type="dxa"/>
            <w:bottom w:w="45" w:type="dxa"/>
            <w:right w:w="45" w:type="dxa"/>
          </w:tblCellMar>
        </w:tblPrEx>
        <w:trPr>
          <w:trHeight w:val="737"/>
          <w:tblCellSpacing w:w="0" w:type="dxa"/>
          <w:jc w:val="center"/>
        </w:trPr>
        <w:tc>
          <w:tcPr>
            <w:tcW w:w="2722" w:type="dxa"/>
            <w:vAlign w:val="center"/>
          </w:tcPr>
          <w:p>
            <w:pPr>
              <w:jc w:val="right"/>
              <w:rPr>
                <w:rFonts w:asciiTheme="minorEastAsia" w:eastAsiaTheme="minorEastAsia" w:hAnsiTheme="minorEastAsia" w:cs="宋体"/>
                <w:sz w:val="30"/>
                <w:szCs w:val="30"/>
              </w:rPr>
            </w:pPr>
            <w:r>
              <w:rPr>
                <w:rFonts w:asciiTheme="minorEastAsia" w:eastAsiaTheme="minorEastAsia" w:hAnsiTheme="minorEastAsia"/>
                <w:sz w:val="30"/>
                <w:szCs w:val="30"/>
              </w:rPr>
              <w:t>项目编号：</w:t>
            </w:r>
          </w:p>
        </w:tc>
        <w:tc>
          <w:tcPr>
            <w:tcW w:w="5216" w:type="dxa"/>
            <w:vAlign w:val="center"/>
          </w:tcPr>
          <w:p>
            <w:pPr>
              <w:rPr>
                <w:rFonts w:asciiTheme="minorEastAsia" w:eastAsiaTheme="minorEastAsia" w:hAnsiTheme="minorEastAsia" w:cs="宋体"/>
                <w:sz w:val="30"/>
                <w:szCs w:val="30"/>
              </w:rPr>
            </w:pPr>
            <w:r>
              <w:rPr>
                <w:rFonts w:asciiTheme="minorEastAsia" w:eastAsiaTheme="minorEastAsia" w:hAnsiTheme="minorEastAsia" w:hint="eastAsia"/>
                <w:sz w:val="30"/>
                <w:szCs w:val="30"/>
                <w:lang w:eastAsia="zh-CN"/>
              </w:rPr>
              <w:t>SZDL2023002471</w:t>
            </w:r>
          </w:p>
        </w:tc>
      </w:tr>
      <w:tr>
        <w:tblPrEx>
          <w:tblW w:w="7938" w:type="dxa"/>
          <w:jc w:val="center"/>
          <w:tblCellSpacing w:w="0" w:type="dxa"/>
          <w:tblLayout w:type="fixed"/>
          <w:tblCellMar>
            <w:top w:w="45" w:type="dxa"/>
            <w:left w:w="45" w:type="dxa"/>
            <w:bottom w:w="45" w:type="dxa"/>
            <w:right w:w="45" w:type="dxa"/>
          </w:tblCellMar>
        </w:tblPrEx>
        <w:trPr>
          <w:trHeight w:val="737"/>
          <w:tblCellSpacing w:w="0" w:type="dxa"/>
          <w:jc w:val="center"/>
        </w:trPr>
        <w:tc>
          <w:tcPr>
            <w:tcW w:w="2722" w:type="dxa"/>
            <w:vAlign w:val="center"/>
          </w:tcPr>
          <w:p>
            <w:pPr>
              <w:jc w:val="right"/>
              <w:rPr>
                <w:rFonts w:asciiTheme="minorEastAsia" w:eastAsiaTheme="minorEastAsia" w:hAnsiTheme="minorEastAsia" w:cs="宋体"/>
                <w:sz w:val="30"/>
                <w:szCs w:val="30"/>
              </w:rPr>
            </w:pPr>
            <w:r>
              <w:rPr>
                <w:rFonts w:asciiTheme="minorEastAsia" w:eastAsiaTheme="minorEastAsia" w:hAnsiTheme="minorEastAsia"/>
                <w:sz w:val="30"/>
                <w:szCs w:val="30"/>
              </w:rPr>
              <w:t>项目名称：</w:t>
            </w:r>
          </w:p>
        </w:tc>
        <w:tc>
          <w:tcPr>
            <w:tcW w:w="5216" w:type="dxa"/>
            <w:vAlign w:val="center"/>
          </w:tcPr>
          <w:p>
            <w:pPr>
              <w:rPr>
                <w:rFonts w:asciiTheme="minorEastAsia" w:eastAsiaTheme="minorEastAsia" w:hAnsiTheme="minorEastAsia" w:cs="宋体" w:hint="eastAsia"/>
                <w:sz w:val="30"/>
                <w:szCs w:val="30"/>
                <w:lang w:eastAsia="zh-CN"/>
              </w:rPr>
            </w:pPr>
            <w:r>
              <w:rPr>
                <w:rFonts w:asciiTheme="minorEastAsia" w:eastAsiaTheme="minorEastAsia" w:hAnsiTheme="minorEastAsia" w:hint="eastAsia"/>
                <w:sz w:val="30"/>
                <w:szCs w:val="30"/>
                <w:lang w:eastAsia="zh-CN"/>
              </w:rPr>
              <w:t>2024年高压设施维护服务</w:t>
            </w:r>
          </w:p>
        </w:tc>
      </w:tr>
      <w:tr>
        <w:tblPrEx>
          <w:tblW w:w="7938" w:type="dxa"/>
          <w:jc w:val="center"/>
          <w:tblCellSpacing w:w="0" w:type="dxa"/>
          <w:tblLayout w:type="fixed"/>
          <w:tblCellMar>
            <w:top w:w="45" w:type="dxa"/>
            <w:left w:w="45" w:type="dxa"/>
            <w:bottom w:w="45" w:type="dxa"/>
            <w:right w:w="45" w:type="dxa"/>
          </w:tblCellMar>
        </w:tblPrEx>
        <w:trPr>
          <w:trHeight w:val="737"/>
          <w:tblCellSpacing w:w="0" w:type="dxa"/>
          <w:jc w:val="center"/>
        </w:trPr>
        <w:tc>
          <w:tcPr>
            <w:tcW w:w="2722" w:type="dxa"/>
            <w:vAlign w:val="center"/>
          </w:tcPr>
          <w:p>
            <w:pPr>
              <w:jc w:val="right"/>
              <w:rPr>
                <w:rFonts w:asciiTheme="minorEastAsia" w:eastAsiaTheme="minorEastAsia" w:hAnsiTheme="minorEastAsia" w:cs="宋体"/>
                <w:sz w:val="30"/>
                <w:szCs w:val="30"/>
              </w:rPr>
            </w:pPr>
            <w:r>
              <w:rPr>
                <w:rFonts w:asciiTheme="minorEastAsia" w:eastAsiaTheme="minorEastAsia" w:hAnsiTheme="minorEastAsia"/>
                <w:sz w:val="30"/>
                <w:szCs w:val="30"/>
              </w:rPr>
              <w:t>包 号：</w:t>
            </w:r>
          </w:p>
        </w:tc>
        <w:tc>
          <w:tcPr>
            <w:tcW w:w="5216" w:type="dxa"/>
            <w:vAlign w:val="center"/>
          </w:tcPr>
          <w:p>
            <w:pPr>
              <w:rPr>
                <w:rFonts w:asciiTheme="minorEastAsia" w:eastAsiaTheme="minorEastAsia" w:hAnsiTheme="minorEastAsia" w:cs="宋体"/>
                <w:sz w:val="30"/>
                <w:szCs w:val="30"/>
              </w:rPr>
            </w:pPr>
            <w:r>
              <w:rPr>
                <w:rFonts w:asciiTheme="minorEastAsia" w:eastAsiaTheme="minorEastAsia" w:hAnsiTheme="minorEastAsia"/>
                <w:sz w:val="30"/>
                <w:szCs w:val="30"/>
              </w:rPr>
              <w:t>A</w:t>
            </w:r>
          </w:p>
        </w:tc>
      </w:tr>
      <w:tr>
        <w:tblPrEx>
          <w:tblW w:w="7938" w:type="dxa"/>
          <w:jc w:val="center"/>
          <w:tblCellSpacing w:w="0" w:type="dxa"/>
          <w:tblLayout w:type="fixed"/>
          <w:tblCellMar>
            <w:top w:w="45" w:type="dxa"/>
            <w:left w:w="45" w:type="dxa"/>
            <w:bottom w:w="45" w:type="dxa"/>
            <w:right w:w="45" w:type="dxa"/>
          </w:tblCellMar>
        </w:tblPrEx>
        <w:trPr>
          <w:trHeight w:val="737"/>
          <w:tblCellSpacing w:w="0" w:type="dxa"/>
          <w:jc w:val="center"/>
        </w:trPr>
        <w:tc>
          <w:tcPr>
            <w:tcW w:w="2722" w:type="dxa"/>
            <w:vAlign w:val="center"/>
          </w:tcPr>
          <w:p>
            <w:pPr>
              <w:jc w:val="right"/>
              <w:rPr>
                <w:rFonts w:asciiTheme="minorEastAsia" w:eastAsiaTheme="minorEastAsia" w:hAnsiTheme="minorEastAsia" w:cs="宋体"/>
                <w:sz w:val="30"/>
                <w:szCs w:val="30"/>
              </w:rPr>
            </w:pPr>
            <w:r>
              <w:rPr>
                <w:rFonts w:asciiTheme="minorEastAsia" w:eastAsiaTheme="minorEastAsia" w:hAnsiTheme="minorEastAsia"/>
                <w:sz w:val="30"/>
                <w:szCs w:val="30"/>
              </w:rPr>
              <w:t>项目类型：</w:t>
            </w:r>
          </w:p>
        </w:tc>
        <w:tc>
          <w:tcPr>
            <w:tcW w:w="5216" w:type="dxa"/>
            <w:vAlign w:val="center"/>
          </w:tcPr>
          <w:p>
            <w:pPr>
              <w:rPr>
                <w:rFonts w:asciiTheme="minorEastAsia" w:eastAsiaTheme="minorEastAsia" w:hAnsiTheme="minorEastAsia" w:cs="宋体"/>
                <w:sz w:val="30"/>
                <w:szCs w:val="30"/>
              </w:rPr>
            </w:pPr>
            <w:r>
              <w:rPr>
                <w:rFonts w:asciiTheme="minorEastAsia" w:eastAsiaTheme="minorEastAsia" w:hAnsiTheme="minorEastAsia"/>
                <w:sz w:val="30"/>
                <w:szCs w:val="30"/>
              </w:rPr>
              <w:t>服务类</w:t>
            </w:r>
          </w:p>
        </w:tc>
      </w:tr>
      <w:tr>
        <w:tblPrEx>
          <w:tblW w:w="7938" w:type="dxa"/>
          <w:jc w:val="center"/>
          <w:tblCellSpacing w:w="0" w:type="dxa"/>
          <w:tblLayout w:type="fixed"/>
          <w:tblCellMar>
            <w:top w:w="45" w:type="dxa"/>
            <w:left w:w="45" w:type="dxa"/>
            <w:bottom w:w="45" w:type="dxa"/>
            <w:right w:w="45" w:type="dxa"/>
          </w:tblCellMar>
        </w:tblPrEx>
        <w:trPr>
          <w:trHeight w:val="737"/>
          <w:tblCellSpacing w:w="0" w:type="dxa"/>
          <w:jc w:val="center"/>
        </w:trPr>
        <w:tc>
          <w:tcPr>
            <w:tcW w:w="2722" w:type="dxa"/>
            <w:vAlign w:val="center"/>
          </w:tcPr>
          <w:p>
            <w:pPr>
              <w:jc w:val="right"/>
              <w:rPr>
                <w:rFonts w:asciiTheme="minorEastAsia" w:eastAsiaTheme="minorEastAsia" w:hAnsiTheme="minorEastAsia" w:cs="宋体"/>
                <w:sz w:val="30"/>
                <w:szCs w:val="30"/>
              </w:rPr>
            </w:pPr>
            <w:r>
              <w:rPr>
                <w:rFonts w:asciiTheme="minorEastAsia" w:eastAsiaTheme="minorEastAsia" w:hAnsiTheme="minorEastAsia"/>
                <w:sz w:val="30"/>
                <w:szCs w:val="30"/>
              </w:rPr>
              <w:t>采购方式：</w:t>
            </w:r>
          </w:p>
        </w:tc>
        <w:tc>
          <w:tcPr>
            <w:tcW w:w="5216" w:type="dxa"/>
            <w:vAlign w:val="center"/>
          </w:tcPr>
          <w:p>
            <w:pPr>
              <w:rPr>
                <w:rFonts w:asciiTheme="minorEastAsia" w:eastAsiaTheme="minorEastAsia" w:hAnsiTheme="minorEastAsia" w:cs="宋体"/>
                <w:sz w:val="30"/>
                <w:szCs w:val="30"/>
              </w:rPr>
            </w:pPr>
            <w:r>
              <w:rPr>
                <w:rFonts w:asciiTheme="minorEastAsia" w:eastAsiaTheme="minorEastAsia" w:hAnsiTheme="minorEastAsia"/>
                <w:sz w:val="30"/>
                <w:szCs w:val="30"/>
              </w:rPr>
              <w:t>公开招标</w:t>
            </w:r>
          </w:p>
        </w:tc>
      </w:tr>
      <w:tr>
        <w:tblPrEx>
          <w:tblW w:w="7938" w:type="dxa"/>
          <w:jc w:val="center"/>
          <w:tblCellSpacing w:w="0" w:type="dxa"/>
          <w:tblLayout w:type="fixed"/>
          <w:tblCellMar>
            <w:top w:w="45" w:type="dxa"/>
            <w:left w:w="45" w:type="dxa"/>
            <w:bottom w:w="45" w:type="dxa"/>
            <w:right w:w="45" w:type="dxa"/>
          </w:tblCellMar>
        </w:tblPrEx>
        <w:trPr>
          <w:trHeight w:val="737"/>
          <w:tblCellSpacing w:w="0" w:type="dxa"/>
          <w:jc w:val="center"/>
        </w:trPr>
        <w:tc>
          <w:tcPr>
            <w:tcW w:w="2722" w:type="dxa"/>
            <w:vAlign w:val="center"/>
          </w:tcPr>
          <w:p>
            <w:pPr>
              <w:jc w:val="right"/>
              <w:rPr>
                <w:rFonts w:ascii="宋体" w:hAnsi="宋体" w:cs="宋体"/>
                <w:sz w:val="30"/>
                <w:szCs w:val="30"/>
              </w:rPr>
            </w:pPr>
            <w:r>
              <w:rPr>
                <w:sz w:val="30"/>
                <w:szCs w:val="30"/>
              </w:rPr>
              <w:t>货币类型：</w:t>
            </w:r>
          </w:p>
        </w:tc>
        <w:tc>
          <w:tcPr>
            <w:tcW w:w="5216" w:type="dxa"/>
            <w:vAlign w:val="center"/>
          </w:tcPr>
          <w:p>
            <w:pPr>
              <w:rPr>
                <w:rFonts w:ascii="宋体" w:hAnsi="宋体" w:cs="宋体"/>
                <w:sz w:val="30"/>
                <w:szCs w:val="30"/>
              </w:rPr>
            </w:pPr>
            <w:r>
              <w:rPr>
                <w:sz w:val="30"/>
                <w:szCs w:val="30"/>
              </w:rPr>
              <w:t>人民币</w:t>
            </w:r>
          </w:p>
        </w:tc>
      </w:tr>
      <w:tr>
        <w:tblPrEx>
          <w:tblW w:w="7938" w:type="dxa"/>
          <w:jc w:val="center"/>
          <w:tblCellSpacing w:w="0" w:type="dxa"/>
          <w:tblLayout w:type="fixed"/>
          <w:tblCellMar>
            <w:top w:w="45" w:type="dxa"/>
            <w:left w:w="45" w:type="dxa"/>
            <w:bottom w:w="45" w:type="dxa"/>
            <w:right w:w="45" w:type="dxa"/>
          </w:tblCellMar>
        </w:tblPrEx>
        <w:trPr>
          <w:trHeight w:val="737"/>
          <w:tblCellSpacing w:w="0" w:type="dxa"/>
          <w:jc w:val="center"/>
        </w:trPr>
        <w:tc>
          <w:tcPr>
            <w:tcW w:w="2722" w:type="dxa"/>
            <w:vAlign w:val="center"/>
          </w:tcPr>
          <w:p>
            <w:pPr>
              <w:jc w:val="right"/>
              <w:rPr>
                <w:rFonts w:ascii="宋体" w:hAnsi="宋体" w:cs="宋体"/>
                <w:sz w:val="30"/>
                <w:szCs w:val="30"/>
              </w:rPr>
            </w:pPr>
            <w:r>
              <w:rPr>
                <w:sz w:val="30"/>
                <w:szCs w:val="30"/>
              </w:rPr>
              <w:t>评标方法：</w:t>
            </w:r>
          </w:p>
        </w:tc>
        <w:tc>
          <w:tcPr>
            <w:tcW w:w="5216" w:type="dxa"/>
            <w:vAlign w:val="center"/>
          </w:tcPr>
          <w:p>
            <w:pPr>
              <w:rPr>
                <w:rFonts w:ascii="宋体" w:hAnsi="宋体" w:cs="宋体"/>
                <w:sz w:val="30"/>
                <w:szCs w:val="30"/>
              </w:rPr>
            </w:pPr>
            <w:r>
              <w:rPr>
                <w:sz w:val="30"/>
                <w:szCs w:val="30"/>
              </w:rPr>
              <w:t>综合评分法（新价格分算法）</w:t>
            </w:r>
          </w:p>
        </w:tc>
      </w:tr>
    </w:tbl>
    <w:p>
      <w:pPr>
        <w:pStyle w:val="NormalWeb"/>
        <w:jc w:val="center"/>
        <w:outlineLvl w:val="1"/>
        <w:rPr>
          <w:rFonts w:ascii="黑体" w:eastAsia="黑体" w:hAnsi="黑体"/>
          <w:sz w:val="40"/>
          <w:szCs w:val="40"/>
        </w:rPr>
      </w:pPr>
      <w:r>
        <w:rPr>
          <w:rFonts w:ascii="黑体" w:eastAsia="黑体" w:hAnsi="黑体" w:hint="eastAsia"/>
          <w:sz w:val="40"/>
          <w:szCs w:val="40"/>
        </w:rPr>
        <w:t>资格性审查表</w:t>
      </w:r>
    </w:p>
    <w:tbl>
      <w:tblPr>
        <w:tblStyle w:val="TableNormal"/>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
      <w:tblGrid>
        <w:gridCol w:w="794"/>
        <w:gridCol w:w="8278"/>
      </w:tblGrid>
      <w:tr>
        <w:tblPrEx>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pPr>
              <w:jc w:val="center"/>
              <w:rPr>
                <w:rFonts w:ascii="宋体" w:hAnsi="宋体" w:cs="宋体"/>
                <w:sz w:val="28"/>
                <w:szCs w:val="28"/>
              </w:rPr>
            </w:pPr>
            <w:r>
              <w:rPr>
                <w:sz w:val="28"/>
                <w:szCs w:val="28"/>
              </w:rPr>
              <w:t>内容</w:t>
            </w:r>
          </w:p>
        </w:tc>
      </w:tr>
      <w:tr>
        <w:tblPrEx>
          <w:tblW w:w="9072" w:type="dxa"/>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szCs w:val="21"/>
              </w:rPr>
            </w:pPr>
            <w:r>
              <w:rPr>
                <w:szCs w:val="21"/>
              </w:rPr>
              <w:t>投标人具备招标文件所列的资格要求，</w:t>
            </w:r>
            <w:r>
              <w:rPr>
                <w:rFonts w:hint="eastAsia"/>
                <w:szCs w:val="21"/>
              </w:rPr>
              <w:t>且</w:t>
            </w:r>
            <w:r>
              <w:rPr>
                <w:szCs w:val="21"/>
              </w:rPr>
              <w:t>提交相应的资格证明资料（详见招标公告</w:t>
            </w:r>
            <w:r>
              <w:rPr>
                <w:rFonts w:ascii="宋体" w:hAnsi="宋体"/>
              </w:rPr>
              <w:t>申请人的资格要求</w:t>
            </w:r>
            <w:r>
              <w:rPr>
                <w:szCs w:val="21"/>
              </w:rPr>
              <w:t>）</w:t>
            </w:r>
          </w:p>
        </w:tc>
      </w:tr>
    </w:tbl>
    <w:p>
      <w:pPr>
        <w:pStyle w:val="NormalWeb"/>
        <w:spacing w:before="280" w:beforeAutospacing="0"/>
        <w:jc w:val="center"/>
        <w:outlineLvl w:val="1"/>
        <w:rPr>
          <w:rFonts w:ascii="黑体" w:eastAsia="黑体" w:hAnsi="黑体"/>
          <w:sz w:val="40"/>
          <w:szCs w:val="40"/>
        </w:rPr>
      </w:pPr>
      <w:r>
        <w:rPr>
          <w:rFonts w:ascii="黑体" w:eastAsia="黑体" w:hAnsi="黑体" w:hint="eastAsia"/>
          <w:sz w:val="40"/>
          <w:szCs w:val="40"/>
        </w:rPr>
        <w:t>符合性审查表</w:t>
      </w:r>
    </w:p>
    <w:tbl>
      <w:tblPr>
        <w:tblStyle w:val="TableNormal"/>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
      <w:tblGrid>
        <w:gridCol w:w="794"/>
        <w:gridCol w:w="8278"/>
      </w:tblGrid>
      <w:tr>
        <w:tblPrEx>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pPr>
              <w:jc w:val="center"/>
              <w:rPr>
                <w:rFonts w:ascii="宋体" w:hAnsi="宋体" w:cs="宋体"/>
                <w:sz w:val="28"/>
                <w:szCs w:val="28"/>
              </w:rPr>
            </w:pPr>
            <w:r>
              <w:rPr>
                <w:rFonts w:ascii="Times New Roman" w:hAnsi="Times New Roman"/>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pPr>
              <w:jc w:val="center"/>
              <w:rPr>
                <w:rFonts w:ascii="宋体" w:hAnsi="宋体" w:cs="宋体"/>
                <w:sz w:val="28"/>
                <w:szCs w:val="28"/>
              </w:rPr>
            </w:pPr>
            <w:r>
              <w:rPr>
                <w:rFonts w:ascii="Times New Roman" w:hAnsi="Times New Roman"/>
                <w:sz w:val="28"/>
                <w:szCs w:val="28"/>
              </w:rPr>
              <w:t>内容</w:t>
            </w:r>
          </w:p>
        </w:tc>
      </w:tr>
      <w:tr>
        <w:tblPrEx>
          <w:tblW w:w="9072" w:type="dxa"/>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szCs w:val="21"/>
              </w:rPr>
            </w:pPr>
            <w:r>
              <w:rPr>
                <w:rFonts w:ascii="Times New Roman" w:hAnsi="Times New Roman"/>
                <w:szCs w:val="21"/>
              </w:rPr>
              <w:t>1</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szCs w:val="21"/>
              </w:rPr>
            </w:pPr>
            <w:r>
              <w:rPr>
                <w:rFonts w:ascii="Times New Roman" w:hAnsi="Times New Roman" w:hint="eastAsia"/>
                <w:szCs w:val="21"/>
              </w:rPr>
              <w:t>未</w:t>
            </w:r>
            <w:r>
              <w:rPr>
                <w:rFonts w:ascii="Times New Roman" w:hAnsi="Times New Roman"/>
                <w:szCs w:val="21"/>
              </w:rPr>
              <w:t>将一个包或一个标段的内容拆开投标</w:t>
            </w:r>
          </w:p>
        </w:tc>
      </w:tr>
      <w:tr>
        <w:tblPrEx>
          <w:tblW w:w="9072" w:type="dxa"/>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szCs w:val="21"/>
              </w:rPr>
            </w:pPr>
            <w:r>
              <w:rPr>
                <w:rFonts w:ascii="Times New Roman" w:hAnsi="Times New Roman"/>
                <w:szCs w:val="21"/>
              </w:rPr>
              <w:t>2</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szCs w:val="21"/>
              </w:rPr>
            </w:pPr>
            <w:r>
              <w:rPr>
                <w:rFonts w:ascii="Times New Roman" w:hAnsi="Times New Roman"/>
                <w:szCs w:val="21"/>
              </w:rPr>
              <w:t>对同一项目投标时，</w:t>
            </w:r>
            <w:r>
              <w:rPr>
                <w:rFonts w:ascii="Times New Roman" w:hAnsi="Times New Roman" w:hint="eastAsia"/>
                <w:szCs w:val="21"/>
              </w:rPr>
              <w:t>未</w:t>
            </w:r>
            <w:r>
              <w:rPr>
                <w:rFonts w:ascii="Times New Roman" w:hAnsi="Times New Roman"/>
                <w:szCs w:val="21"/>
              </w:rPr>
              <w:t>提供两套</w:t>
            </w:r>
            <w:r>
              <w:rPr>
                <w:rFonts w:ascii="Times New Roman" w:hAnsi="Times New Roman" w:hint="eastAsia"/>
                <w:szCs w:val="21"/>
              </w:rPr>
              <w:t>及</w:t>
            </w:r>
            <w:r>
              <w:rPr>
                <w:rFonts w:ascii="Times New Roman" w:hAnsi="Times New Roman"/>
                <w:szCs w:val="21"/>
              </w:rPr>
              <w:t>以上的投标方案（招标文件另有规定的除外）</w:t>
            </w:r>
          </w:p>
        </w:tc>
      </w:tr>
      <w:tr>
        <w:tblPrEx>
          <w:tblW w:w="9072" w:type="dxa"/>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szCs w:val="21"/>
              </w:rPr>
            </w:pPr>
            <w:r>
              <w:rPr>
                <w:rFonts w:ascii="Times New Roman" w:hAnsi="Times New Roman"/>
                <w:szCs w:val="21"/>
              </w:rPr>
              <w:t>3</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szCs w:val="21"/>
              </w:rPr>
            </w:pPr>
            <w:r>
              <w:rPr>
                <w:rFonts w:ascii="Times New Roman" w:hAnsi="Times New Roman"/>
                <w:szCs w:val="21"/>
              </w:rPr>
              <w:t>分项报价或投标总价</w:t>
            </w:r>
            <w:r>
              <w:rPr>
                <w:rFonts w:ascii="Times New Roman" w:hAnsi="Times New Roman" w:hint="eastAsia"/>
                <w:szCs w:val="21"/>
              </w:rPr>
              <w:t>未超过</w:t>
            </w:r>
            <w:r>
              <w:rPr>
                <w:rFonts w:ascii="Times New Roman" w:hAnsi="Times New Roman"/>
                <w:szCs w:val="21"/>
              </w:rPr>
              <w:t>预算金额（最高投标限价）</w:t>
            </w:r>
          </w:p>
        </w:tc>
      </w:tr>
      <w:tr>
        <w:tblPrEx>
          <w:tblW w:w="9072" w:type="dxa"/>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szCs w:val="21"/>
              </w:rPr>
            </w:pPr>
            <w:r>
              <w:rPr>
                <w:rFonts w:ascii="Times New Roman" w:hAnsi="Times New Roman"/>
                <w:szCs w:val="21"/>
              </w:rPr>
              <w:t>4</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szCs w:val="21"/>
              </w:rPr>
            </w:pPr>
            <w:r>
              <w:rPr>
                <w:rFonts w:ascii="Times New Roman" w:hAnsi="Times New Roman" w:hint="eastAsia"/>
                <w:szCs w:val="21"/>
              </w:rPr>
              <w:t>如评标委员会认为投标人的报价明显低于其他通过符合性审查投标人的报价，有可能影响产品质量或者不能诚信履约的，应当要求其在评标现场合理的时间内提供书面说明，必要时提交相关证明材料；投标人应证明其报价合理性（评审委员会成员对投标人提供的说明材料判断不一致的，按照“少数服从多数”的原则确定评审委员会的意见）</w:t>
            </w:r>
          </w:p>
        </w:tc>
      </w:tr>
      <w:tr>
        <w:tblPrEx>
          <w:tblW w:w="9072" w:type="dxa"/>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szCs w:val="21"/>
              </w:rPr>
            </w:pPr>
            <w:r>
              <w:rPr>
                <w:rFonts w:ascii="Times New Roman" w:hAnsi="Times New Roman"/>
                <w:szCs w:val="21"/>
              </w:rPr>
              <w:t>5</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szCs w:val="21"/>
              </w:rPr>
            </w:pPr>
            <w:r>
              <w:rPr>
                <w:rFonts w:ascii="Times New Roman" w:hAnsi="Times New Roman"/>
                <w:szCs w:val="21"/>
              </w:rPr>
              <w:t>投标报价</w:t>
            </w:r>
            <w:r>
              <w:rPr>
                <w:rFonts w:ascii="Times New Roman" w:hAnsi="Times New Roman" w:hint="eastAsia"/>
                <w:szCs w:val="21"/>
              </w:rPr>
              <w:t>满足招标文件报价要求且无</w:t>
            </w:r>
            <w:r>
              <w:rPr>
                <w:rFonts w:ascii="Times New Roman" w:hAnsi="Times New Roman"/>
                <w:szCs w:val="21"/>
              </w:rPr>
              <w:t>严重缺漏项目</w:t>
            </w:r>
          </w:p>
        </w:tc>
      </w:tr>
      <w:tr>
        <w:tblPrEx>
          <w:tblW w:w="9072" w:type="dxa"/>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szCs w:val="21"/>
              </w:rPr>
            </w:pPr>
            <w:r>
              <w:rPr>
                <w:rFonts w:ascii="Times New Roman" w:hAnsi="Times New Roman" w:hint="eastAsia"/>
                <w:szCs w:val="21"/>
              </w:rPr>
              <w:t>6</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szCs w:val="21"/>
              </w:rPr>
            </w:pPr>
            <w:r>
              <w:rPr>
                <w:rFonts w:ascii="Times New Roman" w:hAnsi="Times New Roman"/>
                <w:szCs w:val="21"/>
              </w:rPr>
              <w:t>所投产品、工程、服务在商务、技术等方面实质性满足招标文件要求（是否实质性满足招标文件要求，由评标委员会根据《</w:t>
            </w:r>
            <w:r>
              <w:rPr>
                <w:rFonts w:ascii="Times New Roman" w:hAnsi="Times New Roman" w:hint="eastAsia"/>
                <w:szCs w:val="21"/>
              </w:rPr>
              <w:t>实质性条款响应情况表</w:t>
            </w:r>
            <w:r>
              <w:rPr>
                <w:rFonts w:ascii="Times New Roman" w:hAnsi="Times New Roman"/>
                <w:szCs w:val="21"/>
              </w:rPr>
              <w:t>》做出评判）</w:t>
            </w:r>
          </w:p>
        </w:tc>
      </w:tr>
      <w:tr>
        <w:tblPrEx>
          <w:tblW w:w="9072" w:type="dxa"/>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szCs w:val="21"/>
              </w:rPr>
            </w:pPr>
            <w:r>
              <w:rPr>
                <w:rFonts w:ascii="Times New Roman" w:hAnsi="Times New Roman" w:hint="eastAsia"/>
                <w:szCs w:val="21"/>
              </w:rPr>
              <w:t>7</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szCs w:val="21"/>
              </w:rPr>
            </w:pPr>
            <w:r>
              <w:rPr>
                <w:rFonts w:ascii="Times New Roman" w:hAnsi="Times New Roman"/>
                <w:szCs w:val="21"/>
              </w:rPr>
              <w:t>按招标文件所提供的样式填写《投标函》；按招标文件所提供的《政府采购投标及履约承诺函》进行承诺；</w:t>
            </w:r>
            <w:r>
              <w:rPr>
                <w:rFonts w:ascii="Times New Roman" w:hAnsi="Times New Roman" w:hint="eastAsia"/>
                <w:szCs w:val="21"/>
              </w:rPr>
              <w:t>并</w:t>
            </w:r>
            <w:r>
              <w:rPr>
                <w:rFonts w:ascii="Times New Roman" w:hAnsi="Times New Roman"/>
                <w:szCs w:val="21"/>
              </w:rPr>
              <w:t>按招标文件对投标文件组成的要求提供投标文件（投标文件组成完整）</w:t>
            </w:r>
          </w:p>
        </w:tc>
      </w:tr>
      <w:tr>
        <w:tblPrEx>
          <w:tblW w:w="9072" w:type="dxa"/>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szCs w:val="21"/>
              </w:rPr>
            </w:pPr>
            <w:r>
              <w:rPr>
                <w:rFonts w:ascii="Times New Roman" w:hAnsi="Times New Roman" w:hint="eastAsia"/>
                <w:szCs w:val="21"/>
              </w:rPr>
              <w:t>8</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szCs w:val="21"/>
              </w:rPr>
            </w:pPr>
            <w:r>
              <w:rPr>
                <w:rFonts w:ascii="Times New Roman" w:hAnsi="Times New Roman" w:hint="eastAsia"/>
                <w:szCs w:val="21"/>
              </w:rPr>
              <w:t>投标文件不存在列放位置错误，导致属于信息公开内容没有被公开的情形</w:t>
            </w:r>
          </w:p>
        </w:tc>
      </w:tr>
      <w:tr>
        <w:tblPrEx>
          <w:tblW w:w="9072" w:type="dxa"/>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szCs w:val="21"/>
              </w:rPr>
            </w:pPr>
            <w:r>
              <w:rPr>
                <w:rFonts w:ascii="Times New Roman" w:hAnsi="Times New Roman" w:hint="eastAsia"/>
                <w:szCs w:val="21"/>
              </w:rPr>
              <w:t>9</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szCs w:val="21"/>
              </w:rPr>
            </w:pPr>
            <w:r>
              <w:rPr>
                <w:szCs w:val="21"/>
              </w:rPr>
              <w:t>投标文件</w:t>
            </w:r>
            <w:r>
              <w:rPr>
                <w:rFonts w:hint="eastAsia"/>
                <w:szCs w:val="21"/>
              </w:rPr>
              <w:t>不存在</w:t>
            </w:r>
            <w:r>
              <w:rPr>
                <w:szCs w:val="21"/>
              </w:rPr>
              <w:t>电子文档带病毒</w:t>
            </w:r>
            <w:r>
              <w:rPr>
                <w:rFonts w:hint="eastAsia"/>
                <w:szCs w:val="21"/>
              </w:rPr>
              <w:t>或使</w:t>
            </w:r>
            <w:r>
              <w:rPr>
                <w:szCs w:val="21"/>
              </w:rPr>
              <w:t>用</w:t>
            </w:r>
            <w:r>
              <w:rPr>
                <w:rFonts w:hint="eastAsia"/>
                <w:szCs w:val="21"/>
              </w:rPr>
              <w:t>其他投标人</w:t>
            </w:r>
            <w:r>
              <w:rPr>
                <w:szCs w:val="21"/>
              </w:rPr>
              <w:t>的电子密钥进行加密</w:t>
            </w:r>
            <w:r>
              <w:rPr>
                <w:rFonts w:hint="eastAsia"/>
                <w:szCs w:val="21"/>
              </w:rPr>
              <w:t>的情形</w:t>
            </w:r>
          </w:p>
        </w:tc>
      </w:tr>
      <w:tr>
        <w:tblPrEx>
          <w:tblW w:w="9072" w:type="dxa"/>
          <w:jc w:val="center"/>
          <w:tblLayout w:type="fixed"/>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szCs w:val="21"/>
              </w:rPr>
            </w:pPr>
            <w:r>
              <w:rPr>
                <w:rFonts w:ascii="Times New Roman" w:hAnsi="Times New Roman"/>
                <w:szCs w:val="21"/>
              </w:rPr>
              <w:t>1</w:t>
            </w:r>
            <w:r>
              <w:rPr>
                <w:rFonts w:ascii="Times New Roman" w:hAnsi="Times New Roman" w:hint="eastAsia"/>
                <w:szCs w:val="21"/>
              </w:rPr>
              <w:t>0</w:t>
            </w:r>
          </w:p>
        </w:tc>
        <w:tc>
          <w:tcPr>
            <w:tcW w:w="8278" w:type="dxa"/>
            <w:tcBorders>
              <w:top w:val="single" w:sz="8" w:space="0" w:color="000000"/>
              <w:left w:val="single" w:sz="8" w:space="0" w:color="000000"/>
              <w:bottom w:val="single" w:sz="8" w:space="0" w:color="000000"/>
              <w:right w:val="single" w:sz="8" w:space="0" w:color="000000"/>
            </w:tcBorders>
          </w:tcPr>
          <w:p>
            <w:pPr>
              <w:rPr>
                <w:rFonts w:ascii="宋体" w:hAnsi="宋体" w:cs="宋体"/>
                <w:szCs w:val="21"/>
              </w:rPr>
            </w:pPr>
            <w:r>
              <w:rPr>
                <w:rFonts w:ascii="Times New Roman" w:hAnsi="Times New Roman" w:hint="eastAsia"/>
                <w:szCs w:val="24"/>
              </w:rPr>
              <w:t>法律、法规、规章、规范性文件规定的其他情形</w:t>
            </w:r>
          </w:p>
        </w:tc>
      </w:tr>
    </w:tbl>
    <w:p>
      <w:pPr>
        <w:spacing w:line="324" w:lineRule="auto"/>
        <w:ind w:firstLine="420"/>
        <w:rPr>
          <w:rFonts w:ascii="Times New Roman" w:hAnsi="Times New Roman"/>
          <w:b/>
          <w:color w:val="FF0000"/>
          <w:szCs w:val="21"/>
        </w:rPr>
      </w:pPr>
      <w:r>
        <w:rPr>
          <w:rFonts w:ascii="Times New Roman" w:hAnsi="Times New Roman" w:hint="eastAsia"/>
          <w:b/>
          <w:color w:val="FF0000"/>
          <w:szCs w:val="21"/>
        </w:rPr>
        <w:t>特别说明：</w:t>
      </w:r>
    </w:p>
    <w:p>
      <w:pPr>
        <w:spacing w:line="324" w:lineRule="auto"/>
        <w:ind w:firstLine="420"/>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1、投标人须在开标当日的开标时间至解密截止时间内完成投标文件在线解密，逾期未解密的作无效处理。</w:t>
      </w:r>
    </w:p>
    <w:p>
      <w:pPr>
        <w:spacing w:line="324" w:lineRule="auto"/>
        <w:ind w:firstLine="420"/>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2、投标人不符合《资格性审查表》或《符合性审查表》中任一情形的，初审不通过，投标无效。</w:t>
      </w:r>
    </w:p>
    <w:p>
      <w:pPr>
        <w:spacing w:line="324" w:lineRule="auto"/>
        <w:ind w:firstLine="420"/>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3、评标系统执行标书雷同性分析，包括分析文件制作机器码、文件创建标识码、IP地址是否一致，以及文本内容相似度分析，供评标委员会参考。</w:t>
      </w:r>
    </w:p>
    <w:p>
      <w:pPr>
        <w:spacing w:line="324" w:lineRule="auto"/>
        <w:ind w:firstLine="420"/>
        <w:rPr>
          <w:rFonts w:asciiTheme="minorEastAsia" w:eastAsiaTheme="minorEastAsia" w:hAnsiTheme="minorEastAsia"/>
          <w:b/>
          <w:color w:val="FF0000"/>
          <w:szCs w:val="21"/>
        </w:rPr>
      </w:pPr>
    </w:p>
    <w:p>
      <w:pPr>
        <w:pStyle w:val="NormalWeb"/>
        <w:jc w:val="center"/>
        <w:outlineLvl w:val="1"/>
        <w:rPr>
          <w:rFonts w:ascii="黑体" w:eastAsia="黑体" w:hAnsi="黑体"/>
          <w:sz w:val="40"/>
          <w:szCs w:val="40"/>
        </w:rPr>
      </w:pPr>
      <w:r>
        <w:rPr>
          <w:rFonts w:ascii="黑体" w:eastAsia="黑体" w:hAnsi="黑体" w:hint="eastAsia"/>
          <w:sz w:val="40"/>
          <w:szCs w:val="40"/>
        </w:rPr>
        <w:t>评标信息</w:t>
      </w:r>
    </w:p>
    <w:tbl>
      <w:tblPr>
        <w:tblStyle w:val="TableNormal"/>
        <w:tblW w:w="9072" w:type="dxa"/>
        <w:jc w:val="center"/>
        <w:tblCellSpacing w:w="0" w:type="dxa"/>
        <w:tblLayout w:type="fixed"/>
        <w:tblCellMar>
          <w:top w:w="45" w:type="dxa"/>
          <w:left w:w="45" w:type="dxa"/>
          <w:bottom w:w="45" w:type="dxa"/>
          <w:right w:w="45" w:type="dxa"/>
        </w:tblCellMar>
      </w:tblPr>
      <w:tblGrid>
        <w:gridCol w:w="8829"/>
        <w:gridCol w:w="243"/>
      </w:tblGrid>
      <w:tr>
        <w:tblPrEx>
          <w:tblW w:w="9072" w:type="dxa"/>
          <w:jc w:val="center"/>
          <w:tblCellSpacing w:w="0" w:type="dxa"/>
          <w:tblLayout w:type="fixed"/>
          <w:tblCellMar>
            <w:top w:w="45" w:type="dxa"/>
            <w:left w:w="45" w:type="dxa"/>
            <w:bottom w:w="45" w:type="dxa"/>
            <w:right w:w="45" w:type="dxa"/>
          </w:tblCellMar>
        </w:tblPrEx>
        <w:trPr>
          <w:tblCellSpacing w:w="0" w:type="dxa"/>
          <w:jc w:val="center"/>
        </w:trPr>
        <w:tc>
          <w:tcPr>
            <w:tcW w:w="8829" w:type="dxa"/>
            <w:tcBorders>
              <w:top w:val="nil"/>
              <w:left w:val="nil"/>
              <w:bottom w:val="nil"/>
              <w:right w:val="nil"/>
            </w:tcBorders>
            <w:vAlign w:val="center"/>
          </w:tcPr>
          <w:p>
            <w:pPr>
              <w:rPr>
                <w:rFonts w:ascii="宋体" w:hAnsi="宋体" w:cs="宋体"/>
                <w:b/>
                <w:bCs/>
                <w:sz w:val="24"/>
                <w:szCs w:val="24"/>
              </w:rPr>
            </w:pPr>
            <w:r>
              <w:rPr>
                <w:b/>
                <w:bCs/>
              </w:rPr>
              <w:t>评标方法：综合评分法（新价格分算法）</w:t>
            </w:r>
          </w:p>
        </w:tc>
        <w:tc>
          <w:tcPr>
            <w:tcW w:w="243" w:type="dxa"/>
            <w:tcBorders>
              <w:top w:val="nil"/>
              <w:left w:val="nil"/>
              <w:bottom w:val="nil"/>
              <w:right w:val="nil"/>
            </w:tcBorders>
            <w:vAlign w:val="center"/>
          </w:tcPr>
          <w:p>
            <w:pPr>
              <w:jc w:val="right"/>
              <w:rPr>
                <w:rFonts w:ascii="宋体" w:hAnsi="宋体" w:cs="宋体"/>
                <w:b/>
                <w:bCs/>
                <w:sz w:val="24"/>
                <w:szCs w:val="24"/>
              </w:rPr>
            </w:pPr>
          </w:p>
        </w:tc>
      </w:tr>
      <w:tr>
        <w:tblPrEx>
          <w:tblW w:w="9072" w:type="dxa"/>
          <w:jc w:val="center"/>
          <w:tblCellSpacing w:w="0" w:type="dxa"/>
          <w:tblLayout w:type="fixed"/>
          <w:tblCellMar>
            <w:top w:w="45" w:type="dxa"/>
            <w:left w:w="45" w:type="dxa"/>
            <w:bottom w:w="45" w:type="dxa"/>
            <w:right w:w="45" w:type="dxa"/>
          </w:tblCellMar>
        </w:tblPrEx>
        <w:trPr>
          <w:tblCellSpacing w:w="0" w:type="dxa"/>
          <w:jc w:val="center"/>
        </w:trPr>
        <w:tc>
          <w:tcPr>
            <w:tcW w:w="9072" w:type="dxa"/>
            <w:gridSpan w:val="2"/>
            <w:tcBorders>
              <w:top w:val="nil"/>
              <w:left w:val="nil"/>
              <w:bottom w:val="nil"/>
              <w:right w:val="nil"/>
            </w:tcBorders>
            <w:vAlign w:val="center"/>
          </w:tcPr>
          <w:p>
            <w:pPr>
              <w:pStyle w:val="NormalWeb"/>
              <w:spacing w:line="324" w:lineRule="auto"/>
              <w:ind w:firstLine="420"/>
              <w:rPr>
                <w:sz w:val="21"/>
                <w:szCs w:val="21"/>
              </w:rPr>
            </w:pPr>
            <w:r>
              <w:rPr>
                <w:sz w:val="21"/>
                <w:szCs w:val="21"/>
              </w:rPr>
              <w:t xml:space="preserve">综合评分法，是指投标文件满足招标文件全部实质性要求，且按照评审因素的量化指标评审得分最高的投标人为中标候选人的评标方法。 </w:t>
            </w:r>
          </w:p>
          <w:p>
            <w:pPr>
              <w:pStyle w:val="NormalWeb"/>
              <w:ind w:firstLine="420"/>
              <w:rPr>
                <w:sz w:val="21"/>
                <w:szCs w:val="21"/>
              </w:rPr>
            </w:pPr>
            <w:r>
              <w:rPr>
                <w:sz w:val="21"/>
                <w:szCs w:val="21"/>
              </w:rPr>
              <w:t>价格分计算方法：</w:t>
            </w:r>
          </w:p>
          <w:p>
            <w:pPr>
              <w:pStyle w:val="NormalWeb"/>
              <w:spacing w:line="324" w:lineRule="auto"/>
              <w:ind w:left="420"/>
              <w:rPr>
                <w:sz w:val="21"/>
                <w:szCs w:val="21"/>
              </w:rPr>
            </w:pPr>
            <w:r>
              <w:rPr>
                <w:sz w:val="21"/>
                <w:szCs w:val="21"/>
              </w:rPr>
              <w:t xml:space="preserve">采用低价优先法计算，即满足招标文件要求且投标价格最低的投标报价为评标基准价，其价格分为满分。其他投标人的价格分统一按照下列公式计算： </w:t>
            </w:r>
            <w:r>
              <w:rPr>
                <w:sz w:val="21"/>
                <w:szCs w:val="21"/>
              </w:rPr>
              <w:br/>
            </w:r>
            <w:r>
              <w:rPr>
                <w:sz w:val="21"/>
                <w:szCs w:val="21"/>
              </w:rPr>
              <w:t xml:space="preserve">投标报价得分=(评标基准价／投标报价)×100 </w:t>
            </w:r>
            <w:r>
              <w:rPr>
                <w:sz w:val="21"/>
                <w:szCs w:val="21"/>
              </w:rPr>
              <w:br/>
            </w:r>
            <w:r>
              <w:rPr>
                <w:sz w:val="21"/>
                <w:szCs w:val="21"/>
              </w:rPr>
              <w:t xml:space="preserve">评标总得分＝F1×A1＋F2×A2＋……＋Fn×An </w:t>
            </w:r>
            <w:r>
              <w:rPr>
                <w:sz w:val="21"/>
                <w:szCs w:val="21"/>
              </w:rPr>
              <w:br/>
            </w:r>
            <w:r>
              <w:rPr>
                <w:sz w:val="21"/>
                <w:szCs w:val="21"/>
              </w:rPr>
              <w:t xml:space="preserve">F1、F2……Fn分别为各项评审因素的得分； </w:t>
            </w:r>
            <w:r>
              <w:rPr>
                <w:sz w:val="21"/>
                <w:szCs w:val="21"/>
              </w:rPr>
              <w:br/>
            </w:r>
            <w:r>
              <w:rPr>
                <w:sz w:val="21"/>
                <w:szCs w:val="21"/>
              </w:rPr>
              <w:t xml:space="preserve">A1、A2、……An 分别为各项评审因素所占的权重(A1＋A2＋……＋An＝1)。 </w:t>
            </w:r>
            <w:r>
              <w:rPr>
                <w:sz w:val="21"/>
                <w:szCs w:val="21"/>
              </w:rPr>
              <w:br/>
            </w:r>
            <w:r>
              <w:rPr>
                <w:sz w:val="21"/>
                <w:szCs w:val="21"/>
              </w:rPr>
              <w:t xml:space="preserve">评标过程中，不得去掉报价中的最高报价和最低报价。 </w:t>
            </w:r>
            <w:r>
              <w:rPr>
                <w:sz w:val="21"/>
                <w:szCs w:val="21"/>
              </w:rPr>
              <w:br/>
            </w:r>
            <w:r>
              <w:rPr>
                <w:sz w:val="21"/>
                <w:szCs w:val="21"/>
              </w:rPr>
              <w:t xml:space="preserve">此方法适用于货物类、服务类、工程类项目。 </w:t>
            </w:r>
          </w:p>
        </w:tc>
      </w:tr>
    </w:tbl>
    <w:p>
      <w:pPr>
        <w:rPr>
          <w:vanish/>
        </w:rPr>
      </w:pPr>
    </w:p>
    <w:tbl>
      <w:tblPr>
        <w:tblStyle w:val="TableNormal"/>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
      <w:tblGrid>
        <w:gridCol w:w="680"/>
        <w:gridCol w:w="680"/>
        <w:gridCol w:w="2835"/>
        <w:gridCol w:w="681"/>
        <w:gridCol w:w="4763"/>
      </w:tblGrid>
      <w:tr>
        <w:tblPrEx>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left w:w="108" w:type="dxa"/>
            <w:bottom w:w="20" w:type="dxa"/>
            <w:right w:w="108" w:type="dxa"/>
          </w:tblCellMar>
        </w:tblPrEx>
        <w:trPr>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b/>
                <w:bCs/>
                <w:sz w:val="21"/>
                <w:szCs w:val="21"/>
              </w:rPr>
            </w:pPr>
            <w:r>
              <w:rPr>
                <w:rFonts w:ascii="宋体" w:eastAsia="宋体" w:hAnsi="宋体" w:cs="宋体" w:hint="eastAsia"/>
                <w:b/>
                <w:bCs/>
                <w:sz w:val="21"/>
                <w:szCs w:val="21"/>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b/>
                <w:bCs/>
                <w:sz w:val="21"/>
                <w:szCs w:val="21"/>
              </w:rPr>
            </w:pPr>
            <w:r>
              <w:rPr>
                <w:rFonts w:ascii="宋体" w:eastAsia="宋体" w:hAnsi="宋体" w:cs="宋体" w:hint="eastAsia"/>
                <w:b/>
                <w:bCs/>
                <w:sz w:val="21"/>
                <w:szCs w:val="21"/>
              </w:rPr>
              <w:t>评分项</w:t>
            </w:r>
          </w:p>
        </w:tc>
        <w:tc>
          <w:tcPr>
            <w:tcW w:w="4763" w:type="dxa"/>
            <w:tcBorders>
              <w:top w:val="single" w:sz="8" w:space="0" w:color="000000"/>
              <w:left w:val="single" w:sz="8" w:space="0" w:color="000000"/>
              <w:bottom w:val="single" w:sz="8" w:space="0" w:color="000000"/>
              <w:right w:val="single" w:sz="8" w:space="0" w:color="000000"/>
            </w:tcBorders>
            <w:shd w:val="clear" w:color="auto" w:fill="E6EFFA"/>
            <w:vAlign w:val="center"/>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b/>
                <w:bCs/>
                <w:sz w:val="21"/>
                <w:szCs w:val="21"/>
              </w:rPr>
            </w:pPr>
            <w:r>
              <w:rPr>
                <w:rFonts w:ascii="宋体" w:eastAsia="宋体" w:hAnsi="宋体" w:cs="宋体" w:hint="eastAsia"/>
                <w:b/>
                <w:bCs/>
                <w:sz w:val="21"/>
                <w:szCs w:val="21"/>
              </w:rPr>
              <w:t>权重(%)</w:t>
            </w:r>
          </w:p>
        </w:tc>
      </w:tr>
      <w:tr>
        <w:tblPrEx>
          <w:tblW w:w="9639" w:type="dxa"/>
          <w:jc w:val="center"/>
          <w:tblLayout w:type="fixed"/>
          <w:tblCellMar>
            <w:top w:w="20" w:type="dxa"/>
            <w:left w:w="108" w:type="dxa"/>
            <w:bottom w:w="20" w:type="dxa"/>
            <w:right w:w="108" w:type="dxa"/>
          </w:tblCellMar>
        </w:tblPrEx>
        <w:trPr>
          <w:jc w:val="center"/>
        </w:trPr>
        <w:tc>
          <w:tcPr>
            <w:tcW w:w="680" w:type="dxa"/>
            <w:tcBorders>
              <w:top w:val="single" w:sz="8" w:space="0" w:color="000000"/>
              <w:left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b/>
                <w:bCs/>
                <w:color w:val="0000FF"/>
                <w:sz w:val="21"/>
                <w:szCs w:val="21"/>
              </w:rPr>
            </w:pPr>
            <w:r>
              <w:rPr>
                <w:rFonts w:ascii="宋体" w:eastAsia="宋体" w:hAnsi="宋体" w:cs="宋体" w:hint="eastAsia"/>
                <w:b/>
                <w:bCs/>
                <w:color w:val="0000FF"/>
                <w:sz w:val="21"/>
                <w:szCs w:val="21"/>
              </w:rPr>
              <w:t>1</w:t>
            </w:r>
          </w:p>
        </w:tc>
        <w:tc>
          <w:tcPr>
            <w:tcW w:w="4196" w:type="dxa"/>
            <w:gridSpan w:val="3"/>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b/>
                <w:bCs/>
                <w:color w:val="0000FF"/>
                <w:sz w:val="21"/>
                <w:szCs w:val="21"/>
              </w:rPr>
            </w:pPr>
            <w:r>
              <w:rPr>
                <w:rFonts w:ascii="宋体" w:eastAsia="宋体" w:hAnsi="宋体" w:cs="宋体" w:hint="eastAsia"/>
                <w:b/>
                <w:bCs/>
                <w:color w:val="0000FF"/>
                <w:sz w:val="21"/>
                <w:szCs w:val="21"/>
              </w:rPr>
              <w:t>价格</w:t>
            </w:r>
          </w:p>
        </w:tc>
        <w:tc>
          <w:tcPr>
            <w:tcW w:w="4763"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b/>
                <w:bCs/>
                <w:color w:val="0000FF"/>
                <w:sz w:val="21"/>
                <w:szCs w:val="21"/>
              </w:rPr>
            </w:pPr>
            <w:r>
              <w:rPr>
                <w:rFonts w:ascii="宋体" w:eastAsia="宋体" w:hAnsi="宋体" w:cs="宋体" w:hint="eastAsia"/>
                <w:b/>
                <w:bCs/>
                <w:color w:val="0000FF"/>
                <w:sz w:val="21"/>
                <w:szCs w:val="21"/>
              </w:rPr>
              <w:t>10</w:t>
            </w:r>
          </w:p>
        </w:tc>
      </w:tr>
      <w:tr>
        <w:tblPrEx>
          <w:tblW w:w="9639" w:type="dxa"/>
          <w:jc w:val="center"/>
          <w:tblLayout w:type="fixed"/>
          <w:tblCellMar>
            <w:top w:w="20" w:type="dxa"/>
            <w:left w:w="108" w:type="dxa"/>
            <w:bottom w:w="20" w:type="dxa"/>
            <w:right w:w="108" w:type="dxa"/>
          </w:tblCellMar>
        </w:tblPrEx>
        <w:trPr>
          <w:jc w:val="center"/>
        </w:trPr>
        <w:tc>
          <w:tcPr>
            <w:tcW w:w="680" w:type="dxa"/>
            <w:vMerge w:val="restart"/>
            <w:tcBorders>
              <w:top w:val="single" w:sz="8" w:space="0" w:color="000000"/>
              <w:left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b/>
                <w:bCs/>
                <w:color w:val="0000FF"/>
                <w:sz w:val="21"/>
                <w:szCs w:val="21"/>
              </w:rPr>
            </w:pPr>
            <w:r>
              <w:rPr>
                <w:rFonts w:ascii="宋体" w:eastAsia="宋体" w:hAnsi="宋体" w:cs="宋体" w:hint="eastAsia"/>
                <w:b/>
                <w:bCs/>
                <w:color w:val="0000FF"/>
                <w:sz w:val="21"/>
                <w:szCs w:val="21"/>
              </w:rPr>
              <w:t>2</w:t>
            </w:r>
          </w:p>
        </w:tc>
        <w:tc>
          <w:tcPr>
            <w:tcW w:w="4196" w:type="dxa"/>
            <w:gridSpan w:val="3"/>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b/>
                <w:bCs/>
                <w:color w:val="0000FF"/>
                <w:sz w:val="21"/>
                <w:szCs w:val="21"/>
              </w:rPr>
            </w:pPr>
            <w:r>
              <w:rPr>
                <w:rFonts w:ascii="宋体" w:eastAsia="宋体" w:hAnsi="宋体" w:cs="宋体" w:hint="eastAsia"/>
                <w:b/>
                <w:bCs/>
                <w:color w:val="0000FF"/>
                <w:sz w:val="21"/>
                <w:szCs w:val="21"/>
              </w:rPr>
              <w:t>技术</w:t>
            </w:r>
          </w:p>
        </w:tc>
        <w:tc>
          <w:tcPr>
            <w:tcW w:w="4763"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b/>
                <w:bCs/>
                <w:color w:val="0000FF"/>
                <w:sz w:val="21"/>
                <w:szCs w:val="21"/>
                <w:lang w:val="en-US" w:eastAsia="zh-CN"/>
              </w:rPr>
            </w:pPr>
            <w:r>
              <w:rPr>
                <w:rFonts w:ascii="宋体" w:eastAsia="宋体" w:hAnsi="宋体" w:cs="宋体" w:hint="eastAsia"/>
                <w:b/>
                <w:bCs/>
                <w:color w:val="0000FF"/>
                <w:sz w:val="21"/>
                <w:szCs w:val="21"/>
                <w:lang w:val="en-US" w:eastAsia="zh-CN"/>
              </w:rPr>
              <w:t>60</w:t>
            </w:r>
          </w:p>
        </w:tc>
      </w:tr>
      <w:tr>
        <w:tblPrEx>
          <w:tblW w:w="9639" w:type="dxa"/>
          <w:jc w:val="center"/>
          <w:tblLayout w:type="fixed"/>
          <w:tblCellMar>
            <w:top w:w="20" w:type="dxa"/>
            <w:left w:w="108" w:type="dxa"/>
            <w:bottom w:w="20" w:type="dxa"/>
            <w:right w:w="108" w:type="dxa"/>
          </w:tblCellMar>
        </w:tblPrEx>
        <w:trPr>
          <w:jc w:val="center"/>
        </w:trPr>
        <w:tc>
          <w:tcPr>
            <w:tcW w:w="680" w:type="dxa"/>
            <w:vMerge/>
            <w:tcBorders>
              <w:left w:val="single" w:sz="8" w:space="0" w:color="000000"/>
              <w:right w:val="single" w:sz="8" w:space="0" w:color="000000"/>
            </w:tcBorders>
            <w:vAlign w:val="center"/>
          </w:tcPr>
          <w:p>
            <w:pPr>
              <w:keepNext w:val="0"/>
              <w:keepLines w:val="0"/>
              <w:pageBreakBefore w:val="0"/>
              <w:kinsoku/>
              <w:wordWrap/>
              <w:overflowPunct/>
              <w:topLinePunct w:val="0"/>
              <w:bidi w:val="0"/>
              <w:spacing w:line="360" w:lineRule="auto"/>
              <w:textAlignment w:val="auto"/>
              <w:rPr>
                <w:rFonts w:ascii="宋体" w:eastAsia="宋体" w:hAnsi="宋体" w:cs="宋体" w:hint="eastAsia"/>
                <w:b/>
                <w:bCs/>
                <w:color w:val="0000FF"/>
                <w:sz w:val="21"/>
                <w:szCs w:val="21"/>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权重(%)</w:t>
            </w:r>
          </w:p>
        </w:tc>
        <w:tc>
          <w:tcPr>
            <w:tcW w:w="4763"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评分准则</w:t>
            </w:r>
          </w:p>
        </w:tc>
      </w:tr>
      <w:tr>
        <w:tblPrEx>
          <w:tblW w:w="9639" w:type="dxa"/>
          <w:jc w:val="center"/>
          <w:tblLayout w:type="fixed"/>
          <w:tblCellMar>
            <w:top w:w="20" w:type="dxa"/>
            <w:left w:w="108" w:type="dxa"/>
            <w:bottom w:w="20" w:type="dxa"/>
            <w:right w:w="108" w:type="dxa"/>
          </w:tblCellMar>
        </w:tblPrEx>
        <w:trPr>
          <w:jc w:val="center"/>
        </w:trPr>
        <w:tc>
          <w:tcPr>
            <w:tcW w:w="680" w:type="dxa"/>
            <w:vMerge/>
            <w:tcBorders>
              <w:left w:val="single" w:sz="8" w:space="0" w:color="000000"/>
              <w:right w:val="single" w:sz="8" w:space="0" w:color="000000"/>
            </w:tcBorders>
            <w:vAlign w:val="center"/>
          </w:tcPr>
          <w:p>
            <w:pPr>
              <w:keepNext w:val="0"/>
              <w:keepLines w:val="0"/>
              <w:pageBreakBefore w:val="0"/>
              <w:kinsoku/>
              <w:wordWrap/>
              <w:overflowPunct/>
              <w:topLinePunct w:val="0"/>
              <w:bidi w:val="0"/>
              <w:spacing w:line="360" w:lineRule="auto"/>
              <w:textAlignment w:val="auto"/>
              <w:rPr>
                <w:rFonts w:ascii="宋体" w:eastAsia="宋体" w:hAnsi="宋体" w:cs="宋体" w:hint="eastAsia"/>
                <w:b/>
                <w:bCs/>
                <w:color w:val="0000FF"/>
                <w:sz w:val="21"/>
                <w:szCs w:val="21"/>
              </w:rPr>
            </w:pPr>
          </w:p>
        </w:tc>
        <w:tc>
          <w:tcPr>
            <w:tcW w:w="680"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1</w:t>
            </w:r>
          </w:p>
        </w:tc>
        <w:tc>
          <w:tcPr>
            <w:tcW w:w="2835"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rPr>
            </w:pPr>
            <w:r>
              <w:rPr>
                <w:rFonts w:ascii="宋体" w:eastAsia="宋体" w:hAnsi="宋体" w:cs="宋体" w:hint="eastAsia"/>
                <w:sz w:val="21"/>
                <w:szCs w:val="21"/>
              </w:rPr>
              <w:t>实施方案</w:t>
            </w:r>
          </w:p>
        </w:tc>
        <w:tc>
          <w:tcPr>
            <w:tcW w:w="681"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lang w:eastAsia="zh-CN"/>
              </w:rPr>
            </w:pPr>
            <w:r>
              <w:rPr>
                <w:rFonts w:ascii="宋体" w:eastAsia="宋体" w:hAnsi="宋体" w:cs="宋体" w:hint="eastAsia"/>
                <w:sz w:val="21"/>
                <w:szCs w:val="21"/>
                <w:lang w:val="en-US" w:eastAsia="zh-CN"/>
              </w:rPr>
              <w:t>8</w:t>
            </w:r>
          </w:p>
        </w:tc>
        <w:tc>
          <w:tcPr>
            <w:tcW w:w="4763"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（一）评分内容：</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kern w:val="0"/>
                <w:sz w:val="21"/>
                <w:szCs w:val="21"/>
              </w:rPr>
              <w:t>考察投标人提供的项目实施方案，包含以下内容：</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kern w:val="0"/>
                <w:sz w:val="21"/>
                <w:szCs w:val="21"/>
                <w:lang w:val="en-US" w:eastAsia="zh-CN"/>
              </w:rPr>
            </w:pPr>
            <w:r>
              <w:rPr>
                <w:rFonts w:ascii="宋体" w:eastAsia="宋体" w:hAnsi="宋体" w:cs="宋体" w:hint="eastAsia"/>
                <w:kern w:val="0"/>
                <w:sz w:val="21"/>
                <w:szCs w:val="21"/>
              </w:rPr>
              <w:t>1.</w:t>
            </w:r>
            <w:r>
              <w:rPr>
                <w:rFonts w:ascii="宋体" w:eastAsia="宋体" w:hAnsi="宋体" w:cs="宋体" w:hint="eastAsia"/>
                <w:kern w:val="0"/>
                <w:sz w:val="21"/>
                <w:szCs w:val="21"/>
                <w:lang w:val="en-US" w:eastAsia="zh-CN"/>
              </w:rPr>
              <w:t>维护巡查管养方案（</w:t>
            </w:r>
            <w:r>
              <w:rPr>
                <w:rFonts w:ascii="宋体" w:eastAsia="宋体" w:hAnsi="宋体" w:cs="宋体" w:hint="eastAsia"/>
                <w:kern w:val="0"/>
                <w:sz w:val="21"/>
                <w:szCs w:val="21"/>
              </w:rPr>
              <w:t>包括但不限于：</w:t>
            </w:r>
            <w:r>
              <w:rPr>
                <w:rFonts w:ascii="宋体" w:eastAsia="宋体" w:hAnsi="宋体" w:cs="宋体" w:hint="eastAsia"/>
                <w:kern w:val="0"/>
                <w:sz w:val="21"/>
                <w:szCs w:val="21"/>
                <w:lang w:val="en-US" w:eastAsia="zh-CN"/>
              </w:rPr>
              <w:t>人员</w:t>
            </w:r>
            <w:r>
              <w:rPr>
                <w:rFonts w:ascii="宋体" w:eastAsia="宋体" w:hAnsi="宋体" w:cs="宋体" w:hint="eastAsia"/>
                <w:kern w:val="0"/>
                <w:sz w:val="21"/>
                <w:szCs w:val="21"/>
              </w:rPr>
              <w:t>、</w:t>
            </w:r>
            <w:r>
              <w:rPr>
                <w:rFonts w:ascii="宋体" w:eastAsia="宋体" w:hAnsi="宋体" w:cs="宋体" w:hint="eastAsia"/>
                <w:kern w:val="0"/>
                <w:sz w:val="21"/>
                <w:szCs w:val="21"/>
                <w:lang w:val="en-US" w:eastAsia="zh-CN"/>
              </w:rPr>
              <w:t>值班</w:t>
            </w:r>
            <w:r>
              <w:rPr>
                <w:rFonts w:ascii="宋体" w:eastAsia="宋体" w:hAnsi="宋体" w:cs="宋体" w:hint="eastAsia"/>
                <w:kern w:val="0"/>
                <w:sz w:val="21"/>
                <w:szCs w:val="21"/>
              </w:rPr>
              <w:t>、</w:t>
            </w:r>
            <w:r>
              <w:rPr>
                <w:rFonts w:ascii="宋体" w:eastAsia="宋体" w:hAnsi="宋体" w:cs="宋体" w:hint="eastAsia"/>
                <w:kern w:val="0"/>
                <w:sz w:val="21"/>
                <w:szCs w:val="21"/>
                <w:lang w:eastAsia="zh-CN"/>
              </w:rPr>
              <w:t>车辆、</w:t>
            </w:r>
            <w:r>
              <w:rPr>
                <w:rFonts w:ascii="宋体" w:eastAsia="宋体" w:hAnsi="宋体" w:cs="宋体" w:hint="eastAsia"/>
                <w:kern w:val="0"/>
                <w:sz w:val="21"/>
                <w:szCs w:val="21"/>
                <w:lang w:val="en-US" w:eastAsia="zh-CN"/>
              </w:rPr>
              <w:t>日常巡查</w:t>
            </w:r>
            <w:r>
              <w:rPr>
                <w:rFonts w:ascii="宋体" w:eastAsia="宋体" w:hAnsi="宋体" w:cs="宋体" w:hint="eastAsia"/>
                <w:kern w:val="0"/>
                <w:sz w:val="21"/>
                <w:szCs w:val="21"/>
              </w:rPr>
              <w:t>、</w:t>
            </w:r>
            <w:r>
              <w:rPr>
                <w:rFonts w:ascii="宋体" w:eastAsia="宋体" w:hAnsi="宋体" w:cs="宋体" w:hint="eastAsia"/>
                <w:kern w:val="0"/>
                <w:sz w:val="21"/>
                <w:szCs w:val="21"/>
                <w:lang w:val="en-US" w:eastAsia="zh-CN"/>
              </w:rPr>
              <w:t>设备检修）；</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kern w:val="0"/>
                <w:sz w:val="21"/>
                <w:szCs w:val="21"/>
                <w:lang w:val="en-US" w:eastAsia="zh-CN"/>
              </w:rPr>
              <w:t>2</w:t>
            </w:r>
            <w:r>
              <w:rPr>
                <w:rFonts w:ascii="宋体" w:eastAsia="宋体" w:hAnsi="宋体" w:cs="宋体" w:hint="eastAsia"/>
                <w:kern w:val="0"/>
                <w:sz w:val="21"/>
                <w:szCs w:val="21"/>
              </w:rPr>
              <w:t>.</w:t>
            </w:r>
            <w:r>
              <w:rPr>
                <w:rFonts w:ascii="宋体" w:eastAsia="宋体" w:hAnsi="宋体" w:cs="宋体" w:hint="eastAsia"/>
                <w:kern w:val="0"/>
                <w:sz w:val="21"/>
                <w:szCs w:val="21"/>
                <w:lang w:val="en-US" w:eastAsia="zh-CN"/>
              </w:rPr>
              <w:t>应急巡查方案</w:t>
            </w:r>
            <w:r>
              <w:rPr>
                <w:rFonts w:ascii="宋体" w:eastAsia="宋体" w:hAnsi="宋体" w:cs="宋体" w:hint="eastAsia"/>
                <w:kern w:val="0"/>
                <w:sz w:val="21"/>
                <w:szCs w:val="21"/>
              </w:rPr>
              <w:t>（包括但不限于：</w:t>
            </w:r>
            <w:r>
              <w:rPr>
                <w:rFonts w:ascii="宋体" w:eastAsia="宋体" w:hAnsi="宋体" w:cs="宋体" w:hint="eastAsia"/>
                <w:kern w:val="0"/>
                <w:sz w:val="21"/>
                <w:szCs w:val="21"/>
                <w:lang w:val="en-US" w:eastAsia="zh-CN"/>
              </w:rPr>
              <w:t>防台风防汛应急值守及处置方案</w:t>
            </w:r>
            <w:r>
              <w:rPr>
                <w:rFonts w:ascii="宋体" w:eastAsia="宋体" w:hAnsi="宋体" w:cs="宋体" w:hint="eastAsia"/>
                <w:kern w:val="0"/>
                <w:sz w:val="21"/>
                <w:szCs w:val="21"/>
              </w:rPr>
              <w:t>）；</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kern w:val="0"/>
                <w:sz w:val="21"/>
                <w:szCs w:val="21"/>
                <w:lang w:val="en-US" w:eastAsia="zh-CN"/>
              </w:rPr>
              <w:t>3</w:t>
            </w:r>
            <w:r>
              <w:rPr>
                <w:rFonts w:ascii="宋体" w:eastAsia="宋体" w:hAnsi="宋体" w:cs="宋体" w:hint="eastAsia"/>
                <w:kern w:val="0"/>
                <w:sz w:val="21"/>
                <w:szCs w:val="21"/>
              </w:rPr>
              <w:t>.</w:t>
            </w:r>
            <w:r>
              <w:rPr>
                <w:rFonts w:ascii="宋体" w:eastAsia="宋体" w:hAnsi="宋体" w:cs="宋体" w:hint="eastAsia"/>
                <w:kern w:val="0"/>
                <w:sz w:val="21"/>
                <w:szCs w:val="21"/>
                <w:lang w:val="en-US" w:eastAsia="zh-CN"/>
              </w:rPr>
              <w:t>设备更新及检测方案</w:t>
            </w:r>
            <w:r>
              <w:rPr>
                <w:rFonts w:ascii="宋体" w:eastAsia="宋体" w:hAnsi="宋体" w:cs="宋体" w:hint="eastAsia"/>
                <w:kern w:val="0"/>
                <w:sz w:val="21"/>
                <w:szCs w:val="21"/>
                <w:lang w:eastAsia="zh-CN"/>
              </w:rPr>
              <w:t>（</w:t>
            </w:r>
            <w:r>
              <w:rPr>
                <w:rFonts w:ascii="宋体" w:eastAsia="宋体" w:hAnsi="宋体" w:cs="宋体" w:hint="eastAsia"/>
                <w:kern w:val="0"/>
                <w:sz w:val="21"/>
                <w:szCs w:val="21"/>
              </w:rPr>
              <w:t>包括但不限于：</w:t>
            </w:r>
            <w:r>
              <w:rPr>
                <w:rFonts w:ascii="宋体" w:eastAsia="宋体" w:hAnsi="宋体" w:cs="宋体" w:hint="eastAsia"/>
                <w:kern w:val="0"/>
                <w:sz w:val="21"/>
                <w:szCs w:val="21"/>
                <w:lang w:val="en-US" w:eastAsia="zh-CN"/>
              </w:rPr>
              <w:t>供电部门手续办理流程</w:t>
            </w:r>
            <w:r>
              <w:rPr>
                <w:rFonts w:ascii="宋体" w:eastAsia="宋体" w:hAnsi="宋体" w:cs="宋体" w:hint="eastAsia"/>
                <w:kern w:val="0"/>
                <w:sz w:val="21"/>
                <w:szCs w:val="21"/>
              </w:rPr>
              <w:t>、</w:t>
            </w:r>
            <w:r>
              <w:rPr>
                <w:rFonts w:ascii="宋体" w:eastAsia="宋体" w:hAnsi="宋体" w:cs="宋体" w:hint="eastAsia"/>
                <w:kern w:val="0"/>
                <w:sz w:val="21"/>
                <w:szCs w:val="21"/>
                <w:lang w:val="en-US" w:eastAsia="zh-CN"/>
              </w:rPr>
              <w:t>设备实施安装</w:t>
            </w:r>
            <w:r>
              <w:rPr>
                <w:rFonts w:ascii="宋体" w:eastAsia="宋体" w:hAnsi="宋体" w:cs="宋体" w:hint="eastAsia"/>
                <w:kern w:val="0"/>
                <w:sz w:val="21"/>
                <w:szCs w:val="21"/>
              </w:rPr>
              <w:t>、</w:t>
            </w:r>
            <w:r>
              <w:rPr>
                <w:rFonts w:ascii="宋体" w:eastAsia="宋体" w:hAnsi="宋体" w:cs="宋体" w:hint="eastAsia"/>
                <w:kern w:val="0"/>
                <w:sz w:val="21"/>
                <w:szCs w:val="21"/>
                <w:lang w:val="en-US" w:eastAsia="zh-CN"/>
              </w:rPr>
              <w:t>设备实验</w:t>
            </w:r>
            <w:r>
              <w:rPr>
                <w:rFonts w:ascii="宋体" w:eastAsia="宋体" w:hAnsi="宋体" w:cs="宋体" w:hint="eastAsia"/>
                <w:kern w:val="0"/>
                <w:sz w:val="21"/>
                <w:szCs w:val="21"/>
                <w:lang w:eastAsia="zh-CN"/>
              </w:rPr>
              <w:t>）</w:t>
            </w:r>
            <w:r>
              <w:rPr>
                <w:rFonts w:ascii="宋体" w:eastAsia="宋体" w:hAnsi="宋体" w:cs="宋体" w:hint="eastAsia"/>
                <w:kern w:val="0"/>
                <w:sz w:val="21"/>
                <w:szCs w:val="21"/>
              </w:rPr>
              <w:t>；</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kern w:val="0"/>
                <w:sz w:val="21"/>
                <w:szCs w:val="21"/>
                <w:lang w:eastAsia="zh-CN"/>
              </w:rPr>
            </w:pPr>
            <w:r>
              <w:rPr>
                <w:rFonts w:ascii="宋体" w:eastAsia="宋体" w:hAnsi="宋体" w:cs="宋体" w:hint="eastAsia"/>
                <w:kern w:val="0"/>
                <w:sz w:val="21"/>
                <w:szCs w:val="21"/>
                <w:lang w:val="en-US" w:eastAsia="zh-CN"/>
              </w:rPr>
              <w:t>4</w:t>
            </w:r>
            <w:r>
              <w:rPr>
                <w:rFonts w:ascii="宋体" w:eastAsia="宋体" w:hAnsi="宋体" w:cs="宋体" w:hint="eastAsia"/>
                <w:kern w:val="0"/>
                <w:sz w:val="21"/>
                <w:szCs w:val="21"/>
              </w:rPr>
              <w:t>.维护材料及备品备件管理方案</w:t>
            </w:r>
            <w:r>
              <w:rPr>
                <w:rFonts w:ascii="宋体" w:eastAsia="宋体" w:hAnsi="宋体" w:cs="宋体" w:hint="eastAsia"/>
                <w:kern w:val="0"/>
                <w:sz w:val="21"/>
                <w:szCs w:val="21"/>
                <w:lang w:eastAsia="zh-CN"/>
              </w:rPr>
              <w:t>；</w:t>
            </w:r>
          </w:p>
          <w:p>
            <w:pPr>
              <w:pStyle w:val="a"/>
              <w:spacing w:before="0" w:after="0" w:line="360" w:lineRule="auto"/>
              <w:rPr>
                <w:rFonts w:ascii="宋体" w:eastAsia="宋体" w:hAnsi="宋体" w:cs="宋体" w:hint="eastAsia"/>
                <w:sz w:val="21"/>
                <w:szCs w:val="21"/>
                <w:lang w:val="en-US" w:eastAsia="zh-CN"/>
              </w:rPr>
            </w:pPr>
            <w:r>
              <w:rPr>
                <w:rFonts w:ascii="宋体" w:eastAsia="宋体" w:hAnsi="宋体" w:cs="宋体" w:hint="eastAsia"/>
                <w:kern w:val="0"/>
                <w:sz w:val="21"/>
                <w:szCs w:val="21"/>
                <w:lang w:val="en-US" w:eastAsia="zh-CN"/>
              </w:rPr>
              <w:t>5.智能化设备（含摄像头</w:t>
            </w:r>
            <w:r>
              <w:rPr>
                <w:rFonts w:ascii="宋体" w:eastAsia="宋体" w:hAnsi="宋体" w:cs="宋体" w:hint="eastAsia"/>
                <w:kern w:val="0"/>
                <w:sz w:val="21"/>
                <w:szCs w:val="21"/>
              </w:rPr>
              <w:t>、</w:t>
            </w:r>
            <w:r>
              <w:rPr>
                <w:rFonts w:ascii="宋体" w:eastAsia="宋体" w:hAnsi="宋体" w:cs="宋体" w:hint="eastAsia"/>
                <w:kern w:val="0"/>
                <w:sz w:val="21"/>
                <w:szCs w:val="21"/>
                <w:lang w:val="en-US" w:eastAsia="zh-CN"/>
              </w:rPr>
              <w:t>烟感</w:t>
            </w:r>
            <w:r>
              <w:rPr>
                <w:rFonts w:ascii="宋体" w:eastAsia="宋体" w:hAnsi="宋体" w:cs="宋体" w:hint="eastAsia"/>
                <w:kern w:val="0"/>
                <w:sz w:val="21"/>
                <w:szCs w:val="21"/>
              </w:rPr>
              <w:t>、</w:t>
            </w:r>
            <w:r>
              <w:rPr>
                <w:rFonts w:ascii="宋体" w:eastAsia="宋体" w:hAnsi="宋体" w:cs="宋体" w:hint="eastAsia"/>
                <w:kern w:val="0"/>
                <w:sz w:val="21"/>
                <w:szCs w:val="21"/>
                <w:lang w:val="en-US" w:eastAsia="zh-CN"/>
              </w:rPr>
              <w:t>温控等设备）管养方案；</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kern w:val="0"/>
                <w:sz w:val="21"/>
                <w:szCs w:val="21"/>
                <w:lang w:val="en-US"/>
              </w:rPr>
            </w:pPr>
            <w:r>
              <w:rPr>
                <w:rFonts w:ascii="宋体" w:eastAsia="宋体" w:hAnsi="宋体" w:cs="宋体" w:hint="eastAsia"/>
                <w:kern w:val="0"/>
                <w:sz w:val="21"/>
                <w:szCs w:val="21"/>
                <w:lang w:val="en-US" w:eastAsia="zh-CN"/>
              </w:rPr>
              <w:t>6.设施（含电缆</w:t>
            </w:r>
            <w:r>
              <w:rPr>
                <w:rFonts w:ascii="宋体" w:eastAsia="宋体" w:hAnsi="宋体" w:cs="宋体" w:hint="eastAsia"/>
                <w:kern w:val="0"/>
                <w:sz w:val="21"/>
                <w:szCs w:val="21"/>
              </w:rPr>
              <w:t>、</w:t>
            </w:r>
            <w:r>
              <w:rPr>
                <w:rFonts w:ascii="宋体" w:eastAsia="宋体" w:hAnsi="宋体" w:cs="宋体" w:hint="eastAsia"/>
                <w:kern w:val="0"/>
                <w:sz w:val="21"/>
                <w:szCs w:val="21"/>
                <w:lang w:val="en-US" w:eastAsia="zh-CN"/>
              </w:rPr>
              <w:t>箱变）数据更新。</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kern w:val="0"/>
                <w:sz w:val="21"/>
                <w:szCs w:val="21"/>
              </w:rPr>
            </w:pP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kern w:val="0"/>
                <w:sz w:val="21"/>
                <w:szCs w:val="21"/>
              </w:rPr>
              <w:t>（二）评分标准：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方案包含以上</w:t>
            </w:r>
            <w:r>
              <w:rPr>
                <w:rFonts w:ascii="宋体" w:eastAsia="宋体" w:hAnsi="宋体" w:cs="宋体" w:hint="eastAsia"/>
                <w:sz w:val="21"/>
                <w:szCs w:val="21"/>
                <w:lang w:val="en-US" w:eastAsia="zh-CN"/>
              </w:rPr>
              <w:t>六</w:t>
            </w:r>
            <w:r>
              <w:rPr>
                <w:rFonts w:ascii="宋体" w:eastAsia="宋体" w:hAnsi="宋体" w:cs="宋体" w:hint="eastAsia"/>
                <w:sz w:val="21"/>
                <w:szCs w:val="21"/>
              </w:rPr>
              <w:t>项内容得</w:t>
            </w:r>
            <w:r>
              <w:rPr>
                <w:rFonts w:ascii="宋体" w:eastAsia="宋体" w:hAnsi="宋体" w:cs="宋体" w:hint="eastAsia"/>
                <w:sz w:val="21"/>
                <w:szCs w:val="21"/>
                <w:lang w:val="en-US" w:eastAsia="zh-CN"/>
              </w:rPr>
              <w:t>30</w:t>
            </w:r>
            <w:r>
              <w:rPr>
                <w:rFonts w:ascii="宋体" w:eastAsia="宋体" w:hAnsi="宋体" w:cs="宋体" w:hint="eastAsia"/>
                <w:sz w:val="21"/>
                <w:szCs w:val="21"/>
              </w:rPr>
              <w:t>分</w:t>
            </w:r>
            <w:r>
              <w:rPr>
                <w:rFonts w:ascii="宋体" w:eastAsia="宋体" w:hAnsi="宋体" w:cs="宋体" w:hint="eastAsia"/>
                <w:sz w:val="21"/>
                <w:szCs w:val="21"/>
                <w:lang w:eastAsia="zh-CN"/>
              </w:rPr>
              <w:t>；</w:t>
            </w:r>
            <w:r>
              <w:rPr>
                <w:rFonts w:ascii="宋体" w:eastAsia="宋体" w:hAnsi="宋体" w:cs="宋体" w:hint="eastAsia"/>
                <w:sz w:val="21"/>
                <w:szCs w:val="21"/>
              </w:rPr>
              <w:t>包含以上</w:t>
            </w:r>
            <w:r>
              <w:rPr>
                <w:rFonts w:ascii="宋体" w:eastAsia="宋体" w:hAnsi="宋体" w:cs="宋体" w:hint="eastAsia"/>
                <w:sz w:val="21"/>
                <w:szCs w:val="21"/>
                <w:lang w:val="en-US" w:eastAsia="zh-CN"/>
              </w:rPr>
              <w:t>五</w:t>
            </w:r>
            <w:r>
              <w:rPr>
                <w:rFonts w:ascii="宋体" w:eastAsia="宋体" w:hAnsi="宋体" w:cs="宋体" w:hint="eastAsia"/>
                <w:sz w:val="21"/>
                <w:szCs w:val="21"/>
              </w:rPr>
              <w:t>项内容得</w:t>
            </w:r>
            <w:r>
              <w:rPr>
                <w:rFonts w:ascii="宋体" w:eastAsia="宋体" w:hAnsi="宋体" w:cs="宋体" w:hint="eastAsia"/>
                <w:sz w:val="21"/>
                <w:szCs w:val="21"/>
                <w:lang w:val="en-US" w:eastAsia="zh-CN"/>
              </w:rPr>
              <w:t>20</w:t>
            </w:r>
            <w:r>
              <w:rPr>
                <w:rFonts w:ascii="宋体" w:eastAsia="宋体" w:hAnsi="宋体" w:cs="宋体" w:hint="eastAsia"/>
                <w:sz w:val="21"/>
                <w:szCs w:val="21"/>
              </w:rPr>
              <w:t>分</w:t>
            </w:r>
            <w:r>
              <w:rPr>
                <w:rFonts w:ascii="宋体" w:eastAsia="宋体" w:hAnsi="宋体" w:cs="宋体" w:hint="eastAsia"/>
                <w:sz w:val="21"/>
                <w:szCs w:val="21"/>
                <w:lang w:eastAsia="zh-CN"/>
              </w:rPr>
              <w:t>；</w:t>
            </w:r>
            <w:r>
              <w:rPr>
                <w:rFonts w:ascii="宋体" w:eastAsia="宋体" w:hAnsi="宋体" w:cs="宋体" w:hint="eastAsia"/>
                <w:sz w:val="21"/>
                <w:szCs w:val="21"/>
              </w:rPr>
              <w:t>包含以上</w:t>
            </w:r>
            <w:r>
              <w:rPr>
                <w:rFonts w:ascii="宋体" w:eastAsia="宋体" w:hAnsi="宋体" w:cs="宋体" w:hint="eastAsia"/>
                <w:sz w:val="21"/>
                <w:szCs w:val="21"/>
                <w:lang w:val="en-US" w:eastAsia="zh-CN"/>
              </w:rPr>
              <w:t>四</w:t>
            </w:r>
            <w:r>
              <w:rPr>
                <w:rFonts w:ascii="宋体" w:eastAsia="宋体" w:hAnsi="宋体" w:cs="宋体" w:hint="eastAsia"/>
                <w:sz w:val="21"/>
                <w:szCs w:val="21"/>
              </w:rPr>
              <w:t>项内容得</w:t>
            </w:r>
            <w:r>
              <w:rPr>
                <w:rFonts w:ascii="宋体" w:eastAsia="宋体" w:hAnsi="宋体" w:cs="宋体" w:hint="eastAsia"/>
                <w:sz w:val="21"/>
                <w:szCs w:val="21"/>
                <w:lang w:val="en-US" w:eastAsia="zh-CN"/>
              </w:rPr>
              <w:t>10</w:t>
            </w:r>
            <w:r>
              <w:rPr>
                <w:rFonts w:ascii="宋体" w:eastAsia="宋体" w:hAnsi="宋体" w:cs="宋体" w:hint="eastAsia"/>
                <w:sz w:val="21"/>
                <w:szCs w:val="21"/>
              </w:rPr>
              <w:t>分</w:t>
            </w:r>
            <w:r>
              <w:rPr>
                <w:rFonts w:ascii="宋体" w:eastAsia="宋体" w:hAnsi="宋体" w:cs="宋体" w:hint="eastAsia"/>
                <w:sz w:val="21"/>
                <w:szCs w:val="21"/>
                <w:lang w:val="en-US" w:eastAsia="zh-CN"/>
              </w:rPr>
              <w:t>，其他情况不得分</w:t>
            </w:r>
            <w:r>
              <w:rPr>
                <w:rFonts w:ascii="宋体" w:eastAsia="宋体" w:hAnsi="宋体" w:cs="宋体" w:hint="eastAsia"/>
                <w:sz w:val="21"/>
                <w:szCs w:val="21"/>
              </w:rPr>
              <w:t>。在此基础上，根据方案响应情况进一步评审：</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1.方案内容全面、具体，可行性高，加</w:t>
            </w:r>
            <w:r>
              <w:rPr>
                <w:rFonts w:ascii="宋体" w:eastAsia="宋体" w:hAnsi="宋体" w:cs="宋体" w:hint="eastAsia"/>
                <w:sz w:val="21"/>
                <w:szCs w:val="21"/>
                <w:lang w:val="en-US" w:eastAsia="zh-CN"/>
              </w:rPr>
              <w:t>7</w:t>
            </w:r>
            <w:r>
              <w:rPr>
                <w:rFonts w:ascii="宋体" w:eastAsia="宋体" w:hAnsi="宋体" w:cs="宋体" w:hint="eastAsia"/>
                <w:sz w:val="21"/>
                <w:szCs w:val="21"/>
              </w:rPr>
              <w:t>0分；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2.方案内容较全面，可行性较高，加</w:t>
            </w:r>
            <w:r>
              <w:rPr>
                <w:rFonts w:ascii="宋体" w:eastAsia="宋体" w:hAnsi="宋体" w:cs="宋体" w:hint="eastAsia"/>
                <w:sz w:val="21"/>
                <w:szCs w:val="21"/>
                <w:lang w:val="en-US" w:eastAsia="zh-CN"/>
              </w:rPr>
              <w:t>50</w:t>
            </w:r>
            <w:r>
              <w:rPr>
                <w:rFonts w:ascii="宋体" w:eastAsia="宋体" w:hAnsi="宋体" w:cs="宋体" w:hint="eastAsia"/>
                <w:sz w:val="21"/>
                <w:szCs w:val="21"/>
              </w:rPr>
              <w:t>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3.方案全面性、可行性一般，加</w:t>
            </w:r>
            <w:r>
              <w:rPr>
                <w:rFonts w:ascii="宋体" w:eastAsia="宋体" w:hAnsi="宋体" w:cs="宋体" w:hint="eastAsia"/>
                <w:sz w:val="21"/>
                <w:szCs w:val="21"/>
                <w:lang w:val="en-US" w:eastAsia="zh-CN"/>
              </w:rPr>
              <w:t>3</w:t>
            </w:r>
            <w:r>
              <w:rPr>
                <w:rFonts w:ascii="宋体" w:eastAsia="宋体" w:hAnsi="宋体" w:cs="宋体" w:hint="eastAsia"/>
                <w:sz w:val="21"/>
                <w:szCs w:val="21"/>
              </w:rPr>
              <w:t>0分；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4.方案不全，可行性低，不加分。</w:t>
            </w:r>
          </w:p>
        </w:tc>
      </w:tr>
      <w:tr>
        <w:tblPrEx>
          <w:tblW w:w="9639" w:type="dxa"/>
          <w:jc w:val="center"/>
          <w:tblLayout w:type="fixed"/>
          <w:tblCellMar>
            <w:top w:w="20" w:type="dxa"/>
            <w:left w:w="108" w:type="dxa"/>
            <w:bottom w:w="20" w:type="dxa"/>
            <w:right w:w="108" w:type="dxa"/>
          </w:tblCellMar>
        </w:tblPrEx>
        <w:trPr>
          <w:jc w:val="center"/>
        </w:trPr>
        <w:tc>
          <w:tcPr>
            <w:tcW w:w="680" w:type="dxa"/>
            <w:vMerge/>
            <w:tcBorders>
              <w:left w:val="single" w:sz="8" w:space="0" w:color="000000"/>
              <w:right w:val="single" w:sz="8" w:space="0" w:color="000000"/>
            </w:tcBorders>
            <w:vAlign w:val="center"/>
          </w:tcPr>
          <w:p>
            <w:pPr>
              <w:keepNext w:val="0"/>
              <w:keepLines w:val="0"/>
              <w:pageBreakBefore w:val="0"/>
              <w:kinsoku/>
              <w:wordWrap/>
              <w:overflowPunct/>
              <w:topLinePunct w:val="0"/>
              <w:bidi w:val="0"/>
              <w:spacing w:line="360" w:lineRule="auto"/>
              <w:textAlignment w:val="auto"/>
              <w:rPr>
                <w:rFonts w:ascii="宋体" w:eastAsia="宋体" w:hAnsi="宋体" w:cs="宋体" w:hint="eastAsia"/>
                <w:b/>
                <w:bCs/>
                <w:color w:val="0000FF"/>
                <w:sz w:val="21"/>
                <w:szCs w:val="21"/>
              </w:rPr>
            </w:pPr>
          </w:p>
        </w:tc>
        <w:tc>
          <w:tcPr>
            <w:tcW w:w="680"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2</w:t>
            </w:r>
          </w:p>
        </w:tc>
        <w:tc>
          <w:tcPr>
            <w:tcW w:w="2835"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rPr>
            </w:pPr>
            <w:r>
              <w:rPr>
                <w:rFonts w:ascii="宋体" w:eastAsia="宋体" w:hAnsi="宋体" w:cs="宋体" w:hint="eastAsia"/>
                <w:sz w:val="21"/>
                <w:szCs w:val="21"/>
              </w:rPr>
              <w:t>项目重点难点分析、应对措施及相关的合理化建议</w:t>
            </w:r>
          </w:p>
        </w:tc>
        <w:tc>
          <w:tcPr>
            <w:tcW w:w="681"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lang w:val="en-US" w:eastAsia="zh-CN"/>
              </w:rPr>
            </w:pPr>
            <w:r>
              <w:rPr>
                <w:rFonts w:ascii="宋体" w:eastAsia="宋体" w:hAnsi="宋体" w:cs="宋体" w:hint="eastAsia"/>
                <w:sz w:val="21"/>
                <w:szCs w:val="21"/>
                <w:highlight w:val="none"/>
                <w:lang w:val="en-US" w:eastAsia="zh-CN"/>
              </w:rPr>
              <w:t>8</w:t>
            </w:r>
          </w:p>
        </w:tc>
        <w:tc>
          <w:tcPr>
            <w:tcW w:w="4763"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（一）评分内容：</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kern w:val="0"/>
                <w:sz w:val="21"/>
                <w:szCs w:val="21"/>
              </w:rPr>
              <w:t>考察投标人提供的项目重点难点分析、应对措施及相关的合理化建议，包含以下内容：</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lang w:val="en-US" w:eastAsia="zh-CN"/>
              </w:rPr>
              <w:t>设施隐患排查方案</w:t>
            </w:r>
            <w:r>
              <w:rPr>
                <w:rFonts w:ascii="宋体" w:eastAsia="宋体" w:hAnsi="宋体" w:cs="宋体" w:hint="eastAsia"/>
                <w:kern w:val="0"/>
                <w:sz w:val="21"/>
                <w:szCs w:val="21"/>
              </w:rPr>
              <w:t>；</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kern w:val="0"/>
                <w:sz w:val="21"/>
                <w:szCs w:val="21"/>
                <w:lang w:val="en-US" w:eastAsia="zh-CN"/>
              </w:rPr>
              <w:t>2</w:t>
            </w:r>
            <w:r>
              <w:rPr>
                <w:rFonts w:ascii="宋体" w:eastAsia="宋体" w:hAnsi="宋体" w:cs="宋体" w:hint="eastAsia"/>
                <w:kern w:val="0"/>
                <w:sz w:val="21"/>
                <w:szCs w:val="21"/>
              </w:rPr>
              <w:t>.</w:t>
            </w:r>
            <w:r>
              <w:rPr>
                <w:rFonts w:ascii="宋体" w:eastAsia="宋体" w:hAnsi="宋体" w:cs="宋体" w:hint="eastAsia"/>
                <w:kern w:val="0"/>
                <w:sz w:val="21"/>
                <w:szCs w:val="21"/>
                <w:lang w:val="en-US" w:eastAsia="zh-CN"/>
              </w:rPr>
              <w:t>应急处置（含</w:t>
            </w:r>
            <w:r>
              <w:rPr>
                <w:rFonts w:ascii="宋体" w:eastAsia="宋体" w:hAnsi="宋体" w:cs="宋体" w:hint="eastAsia"/>
                <w:kern w:val="0"/>
                <w:sz w:val="21"/>
                <w:szCs w:val="21"/>
              </w:rPr>
              <w:t>高压设施故障发生时的处理方案）；</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kern w:val="0"/>
                <w:sz w:val="21"/>
                <w:szCs w:val="21"/>
                <w:lang w:val="en-US" w:eastAsia="zh-CN"/>
              </w:rPr>
              <w:t>3</w:t>
            </w:r>
            <w:r>
              <w:rPr>
                <w:rFonts w:ascii="宋体" w:eastAsia="宋体" w:hAnsi="宋体" w:cs="宋体" w:hint="eastAsia"/>
                <w:kern w:val="0"/>
                <w:sz w:val="21"/>
                <w:szCs w:val="21"/>
              </w:rPr>
              <w:t>.极端天气（如台风、暴雨等）情况下的应急保障预案（含人员、车辆、处置措施等）</w:t>
            </w:r>
            <w:r>
              <w:rPr>
                <w:rFonts w:ascii="宋体" w:eastAsia="宋体" w:hAnsi="宋体" w:cs="宋体" w:hint="eastAsia"/>
                <w:kern w:val="0"/>
                <w:sz w:val="21"/>
                <w:szCs w:val="21"/>
                <w:lang w:eastAsia="zh-CN"/>
              </w:rPr>
              <w:t>；</w:t>
            </w: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kern w:val="0"/>
                <w:sz w:val="21"/>
                <w:szCs w:val="21"/>
              </w:rPr>
            </w:pP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kern w:val="0"/>
                <w:sz w:val="21"/>
                <w:szCs w:val="21"/>
              </w:rPr>
              <w:t>（二）评分标准：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方案包含以上</w:t>
            </w:r>
            <w:r>
              <w:rPr>
                <w:rFonts w:ascii="宋体" w:eastAsia="宋体" w:hAnsi="宋体" w:cs="宋体" w:hint="eastAsia"/>
                <w:sz w:val="21"/>
                <w:szCs w:val="21"/>
                <w:lang w:val="en-US" w:eastAsia="zh-CN"/>
              </w:rPr>
              <w:t>三</w:t>
            </w:r>
            <w:r>
              <w:rPr>
                <w:rFonts w:ascii="宋体" w:eastAsia="宋体" w:hAnsi="宋体" w:cs="宋体" w:hint="eastAsia"/>
                <w:sz w:val="21"/>
                <w:szCs w:val="21"/>
              </w:rPr>
              <w:t>项内容得</w:t>
            </w:r>
            <w:r>
              <w:rPr>
                <w:rFonts w:ascii="宋体" w:eastAsia="宋体" w:hAnsi="宋体" w:cs="宋体" w:hint="eastAsia"/>
                <w:sz w:val="21"/>
                <w:szCs w:val="21"/>
                <w:lang w:val="en-US" w:eastAsia="zh-CN"/>
              </w:rPr>
              <w:t>20</w:t>
            </w:r>
            <w:r>
              <w:rPr>
                <w:rFonts w:ascii="宋体" w:eastAsia="宋体" w:hAnsi="宋体" w:cs="宋体" w:hint="eastAsia"/>
                <w:sz w:val="21"/>
                <w:szCs w:val="21"/>
              </w:rPr>
              <w:t>分；包含以上</w:t>
            </w:r>
            <w:r>
              <w:rPr>
                <w:rFonts w:ascii="宋体" w:eastAsia="宋体" w:hAnsi="宋体" w:cs="宋体" w:hint="eastAsia"/>
                <w:sz w:val="21"/>
                <w:szCs w:val="21"/>
                <w:lang w:val="en-US" w:eastAsia="zh-CN"/>
              </w:rPr>
              <w:t>二</w:t>
            </w:r>
            <w:r>
              <w:rPr>
                <w:rFonts w:ascii="宋体" w:eastAsia="宋体" w:hAnsi="宋体" w:cs="宋体" w:hint="eastAsia"/>
                <w:sz w:val="21"/>
                <w:szCs w:val="21"/>
              </w:rPr>
              <w:t>项内容得</w:t>
            </w:r>
            <w:r>
              <w:rPr>
                <w:rFonts w:ascii="宋体" w:eastAsia="宋体" w:hAnsi="宋体" w:cs="宋体" w:hint="eastAsia"/>
                <w:sz w:val="21"/>
                <w:szCs w:val="21"/>
                <w:lang w:val="en-US" w:eastAsia="zh-CN"/>
              </w:rPr>
              <w:t>10</w:t>
            </w:r>
            <w:r>
              <w:rPr>
                <w:rFonts w:ascii="宋体" w:eastAsia="宋体" w:hAnsi="宋体" w:cs="宋体" w:hint="eastAsia"/>
                <w:sz w:val="21"/>
                <w:szCs w:val="21"/>
              </w:rPr>
              <w:t>分；其他情况不得分。在此基础上，根据方案响应情况进一步评审：</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1.方案内容全面、具体，可行性高，加</w:t>
            </w:r>
            <w:r>
              <w:rPr>
                <w:rFonts w:ascii="宋体" w:eastAsia="宋体" w:hAnsi="宋体" w:cs="宋体" w:hint="eastAsia"/>
                <w:sz w:val="21"/>
                <w:szCs w:val="21"/>
                <w:lang w:val="en-US" w:eastAsia="zh-CN"/>
              </w:rPr>
              <w:t>8</w:t>
            </w:r>
            <w:r>
              <w:rPr>
                <w:rFonts w:ascii="宋体" w:eastAsia="宋体" w:hAnsi="宋体" w:cs="宋体" w:hint="eastAsia"/>
                <w:sz w:val="21"/>
                <w:szCs w:val="21"/>
              </w:rPr>
              <w:t>0分；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2.方案内容较全面，可行性较高，加</w:t>
            </w:r>
            <w:r>
              <w:rPr>
                <w:rFonts w:ascii="宋体" w:eastAsia="宋体" w:hAnsi="宋体" w:cs="宋体" w:hint="eastAsia"/>
                <w:sz w:val="21"/>
                <w:szCs w:val="21"/>
                <w:lang w:val="en-US" w:eastAsia="zh-CN"/>
              </w:rPr>
              <w:t>50</w:t>
            </w:r>
            <w:r>
              <w:rPr>
                <w:rFonts w:ascii="宋体" w:eastAsia="宋体" w:hAnsi="宋体" w:cs="宋体" w:hint="eastAsia"/>
                <w:sz w:val="21"/>
                <w:szCs w:val="21"/>
              </w:rPr>
              <w:t>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3.方案全面性、可行性一般，加</w:t>
            </w:r>
            <w:r>
              <w:rPr>
                <w:rFonts w:ascii="宋体" w:eastAsia="宋体" w:hAnsi="宋体" w:cs="宋体" w:hint="eastAsia"/>
                <w:sz w:val="21"/>
                <w:szCs w:val="21"/>
                <w:lang w:val="en-US" w:eastAsia="zh-CN"/>
              </w:rPr>
              <w:t>2</w:t>
            </w:r>
            <w:r>
              <w:rPr>
                <w:rFonts w:ascii="宋体" w:eastAsia="宋体" w:hAnsi="宋体" w:cs="宋体" w:hint="eastAsia"/>
                <w:sz w:val="21"/>
                <w:szCs w:val="21"/>
              </w:rPr>
              <w:t>0分；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4.方案不全，可行性低，不加分。</w:t>
            </w:r>
          </w:p>
        </w:tc>
      </w:tr>
      <w:tr>
        <w:tblPrEx>
          <w:tblW w:w="9639" w:type="dxa"/>
          <w:jc w:val="center"/>
          <w:tblLayout w:type="fixed"/>
          <w:tblCellMar>
            <w:top w:w="20" w:type="dxa"/>
            <w:left w:w="108" w:type="dxa"/>
            <w:bottom w:w="20" w:type="dxa"/>
            <w:right w:w="108" w:type="dxa"/>
          </w:tblCellMar>
        </w:tblPrEx>
        <w:trPr>
          <w:jc w:val="center"/>
        </w:trPr>
        <w:tc>
          <w:tcPr>
            <w:tcW w:w="680" w:type="dxa"/>
            <w:vMerge/>
            <w:tcBorders>
              <w:left w:val="single" w:sz="8" w:space="0" w:color="000000"/>
              <w:right w:val="single" w:sz="8" w:space="0" w:color="000000"/>
            </w:tcBorders>
            <w:vAlign w:val="center"/>
          </w:tcPr>
          <w:p>
            <w:pPr>
              <w:keepNext w:val="0"/>
              <w:keepLines w:val="0"/>
              <w:pageBreakBefore w:val="0"/>
              <w:kinsoku/>
              <w:wordWrap/>
              <w:overflowPunct/>
              <w:topLinePunct w:val="0"/>
              <w:bidi w:val="0"/>
              <w:spacing w:line="360" w:lineRule="auto"/>
              <w:textAlignment w:val="auto"/>
              <w:rPr>
                <w:rFonts w:ascii="宋体" w:eastAsia="宋体" w:hAnsi="宋体" w:cs="宋体" w:hint="eastAsia"/>
                <w:b/>
                <w:bCs/>
                <w:color w:val="0000FF"/>
                <w:sz w:val="21"/>
                <w:szCs w:val="21"/>
              </w:rPr>
            </w:pPr>
          </w:p>
        </w:tc>
        <w:tc>
          <w:tcPr>
            <w:tcW w:w="680"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3</w:t>
            </w:r>
          </w:p>
        </w:tc>
        <w:tc>
          <w:tcPr>
            <w:tcW w:w="2835"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lang w:eastAsia="zh-CN"/>
              </w:rPr>
            </w:pPr>
            <w:r>
              <w:rPr>
                <w:rFonts w:ascii="宋体" w:eastAsia="宋体" w:hAnsi="宋体" w:cs="宋体" w:hint="eastAsia"/>
                <w:sz w:val="21"/>
                <w:szCs w:val="21"/>
                <w:highlight w:val="none"/>
                <w:lang w:val="en-US" w:eastAsia="zh-CN"/>
              </w:rPr>
              <w:t>安全生产保障措施及方案</w:t>
            </w:r>
          </w:p>
        </w:tc>
        <w:tc>
          <w:tcPr>
            <w:tcW w:w="681"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8</w:t>
            </w:r>
          </w:p>
        </w:tc>
        <w:tc>
          <w:tcPr>
            <w:tcW w:w="4763"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（一）评分内容：</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kern w:val="0"/>
                <w:sz w:val="21"/>
                <w:szCs w:val="21"/>
                <w:highlight w:val="none"/>
              </w:rPr>
            </w:pPr>
            <w:r>
              <w:rPr>
                <w:rFonts w:ascii="宋体" w:eastAsia="宋体" w:hAnsi="宋体" w:cs="宋体" w:hint="eastAsia"/>
                <w:kern w:val="0"/>
                <w:sz w:val="21"/>
                <w:szCs w:val="21"/>
                <w:highlight w:val="none"/>
              </w:rPr>
              <w:t>考察投标人提供的</w:t>
            </w:r>
            <w:r>
              <w:rPr>
                <w:rFonts w:ascii="宋体" w:eastAsia="宋体" w:hAnsi="宋体" w:cs="宋体" w:hint="eastAsia"/>
                <w:kern w:val="0"/>
                <w:sz w:val="21"/>
                <w:szCs w:val="21"/>
                <w:highlight w:val="none"/>
                <w:lang w:val="en-US" w:eastAsia="zh-CN"/>
              </w:rPr>
              <w:t>安全</w:t>
            </w:r>
            <w:r>
              <w:rPr>
                <w:rFonts w:ascii="宋体" w:eastAsia="宋体" w:hAnsi="宋体" w:cs="宋体" w:hint="eastAsia"/>
                <w:kern w:val="0"/>
                <w:sz w:val="21"/>
                <w:szCs w:val="21"/>
                <w:highlight w:val="none"/>
              </w:rPr>
              <w:t>保障措施及方案，包含以下内容：</w:t>
            </w:r>
          </w:p>
          <w:p>
            <w:pPr>
              <w:keepNext w:val="0"/>
              <w:keepLines w:val="0"/>
              <w:pageBreakBefore w:val="0"/>
              <w:numPr>
                <w:ilvl w:val="0"/>
                <w:numId w:val="0"/>
              </w:numPr>
              <w:kinsoku/>
              <w:wordWrap/>
              <w:overflowPunct/>
              <w:topLinePunct w:val="0"/>
              <w:autoSpaceDE w:val="0"/>
              <w:autoSpaceDN w:val="0"/>
              <w:bidi w:val="0"/>
              <w:adjustRightInd w:val="0"/>
              <w:spacing w:line="360" w:lineRule="auto"/>
              <w:jc w:val="left"/>
              <w:textAlignment w:val="auto"/>
              <w:rPr>
                <w:rFonts w:ascii="宋体" w:eastAsia="宋体" w:hAnsi="宋体" w:cs="宋体" w:hint="eastAsia"/>
                <w:kern w:val="0"/>
                <w:sz w:val="21"/>
                <w:szCs w:val="21"/>
                <w:highlight w:val="none"/>
              </w:rPr>
            </w:pPr>
            <w:r>
              <w:rPr>
                <w:rFonts w:ascii="宋体" w:eastAsia="宋体" w:hAnsi="宋体" w:cs="宋体" w:hint="eastAsia"/>
                <w:kern w:val="0"/>
                <w:sz w:val="21"/>
                <w:szCs w:val="21"/>
                <w:lang w:val="en-US" w:eastAsia="zh-CN" w:bidi="ar-SA"/>
              </w:rPr>
              <w:t>1.</w:t>
            </w:r>
            <w:r>
              <w:rPr>
                <w:rFonts w:ascii="宋体" w:eastAsia="宋体" w:hAnsi="宋体" w:cs="宋体" w:hint="eastAsia"/>
                <w:kern w:val="0"/>
                <w:sz w:val="21"/>
                <w:szCs w:val="21"/>
                <w:highlight w:val="none"/>
              </w:rPr>
              <w:t>明确企业的安全生产主体责任</w:t>
            </w:r>
            <w:r>
              <w:rPr>
                <w:rFonts w:ascii="宋体" w:eastAsia="宋体" w:hAnsi="宋体" w:cs="宋体" w:hint="eastAsia"/>
                <w:kern w:val="0"/>
                <w:sz w:val="21"/>
                <w:szCs w:val="21"/>
                <w:highlight w:val="none"/>
                <w:lang w:val="en-US" w:eastAsia="zh-CN"/>
              </w:rPr>
              <w:t>和</w:t>
            </w:r>
            <w:r>
              <w:rPr>
                <w:rFonts w:ascii="宋体" w:eastAsia="宋体" w:hAnsi="宋体" w:cs="宋体" w:hint="eastAsia"/>
                <w:kern w:val="0"/>
                <w:sz w:val="21"/>
                <w:szCs w:val="21"/>
                <w:highlight w:val="none"/>
              </w:rPr>
              <w:t>工作职责</w:t>
            </w:r>
            <w:r>
              <w:rPr>
                <w:rFonts w:ascii="宋体" w:eastAsia="宋体" w:hAnsi="宋体" w:cs="宋体" w:hint="eastAsia"/>
                <w:kern w:val="0"/>
                <w:sz w:val="21"/>
                <w:szCs w:val="21"/>
                <w:highlight w:val="none"/>
                <w:lang w:eastAsia="zh-CN"/>
              </w:rPr>
              <w:t>（</w:t>
            </w:r>
            <w:r>
              <w:rPr>
                <w:rFonts w:ascii="宋体" w:eastAsia="宋体" w:hAnsi="宋体" w:cs="宋体" w:hint="eastAsia"/>
                <w:kern w:val="0"/>
                <w:sz w:val="21"/>
                <w:szCs w:val="21"/>
                <w:highlight w:val="none"/>
                <w:lang w:val="en-US" w:eastAsia="zh-CN"/>
              </w:rPr>
              <w:t>要求</w:t>
            </w:r>
            <w:r>
              <w:rPr>
                <w:rFonts w:ascii="宋体" w:eastAsia="宋体" w:hAnsi="宋体" w:cs="宋体" w:hint="eastAsia"/>
                <w:kern w:val="0"/>
                <w:sz w:val="21"/>
                <w:szCs w:val="21"/>
                <w:highlight w:val="none"/>
              </w:rPr>
              <w:t>认真贯彻落实《广东省安全生产条例》，建立健全本企业安全生产管理各项规章制度，将安全生产工作列入企业日常工作范围</w:t>
            </w:r>
            <w:r>
              <w:rPr>
                <w:rFonts w:ascii="宋体" w:eastAsia="宋体" w:hAnsi="宋体" w:cs="宋体" w:hint="eastAsia"/>
                <w:kern w:val="0"/>
                <w:sz w:val="21"/>
                <w:szCs w:val="21"/>
                <w:highlight w:val="none"/>
                <w:lang w:val="en-US" w:eastAsia="zh-CN"/>
              </w:rPr>
              <w:t>及人员车辆安全管理</w:t>
            </w:r>
            <w:r>
              <w:rPr>
                <w:rFonts w:ascii="宋体" w:eastAsia="宋体" w:hAnsi="宋体" w:cs="宋体" w:hint="eastAsia"/>
                <w:kern w:val="0"/>
                <w:sz w:val="21"/>
                <w:szCs w:val="21"/>
                <w:highlight w:val="none"/>
              </w:rPr>
              <w:t>）；</w:t>
            </w:r>
          </w:p>
          <w:p>
            <w:pPr>
              <w:pStyle w:val="a"/>
              <w:numPr>
                <w:ilvl w:val="0"/>
                <w:numId w:val="0"/>
              </w:numPr>
              <w:spacing w:before="0" w:after="0" w:line="360" w:lineRule="auto"/>
              <w:rPr>
                <w:rFonts w:ascii="宋体" w:eastAsia="宋体" w:hAnsi="宋体" w:cs="宋体" w:hint="eastAsia"/>
                <w:sz w:val="21"/>
                <w:szCs w:val="21"/>
              </w:rPr>
            </w:pPr>
            <w:r>
              <w:rPr>
                <w:rFonts w:ascii="宋体" w:eastAsia="宋体" w:hAnsi="宋体" w:cs="宋体" w:hint="eastAsia"/>
                <w:spacing w:val="10"/>
                <w:kern w:val="2"/>
                <w:sz w:val="21"/>
                <w:szCs w:val="21"/>
                <w:lang w:val="en-US" w:eastAsia="zh-CN" w:bidi="ar-SA"/>
              </w:rPr>
              <w:t>2.</w:t>
            </w:r>
            <w:r>
              <w:rPr>
                <w:rFonts w:ascii="宋体" w:eastAsia="宋体" w:hAnsi="宋体" w:cs="宋体" w:hint="eastAsia"/>
                <w:sz w:val="21"/>
                <w:szCs w:val="21"/>
                <w:lang w:val="en-US" w:eastAsia="zh-CN"/>
              </w:rPr>
              <w:t>安全生产培训；</w:t>
            </w:r>
          </w:p>
          <w:p>
            <w:pPr>
              <w:pStyle w:val="a"/>
              <w:keepNext w:val="0"/>
              <w:keepLines w:val="0"/>
              <w:pageBreakBefore w:val="0"/>
              <w:kinsoku/>
              <w:wordWrap/>
              <w:overflowPunct/>
              <w:topLinePunct w:val="0"/>
              <w:bidi w:val="0"/>
              <w:spacing w:before="0" w:after="0" w:line="360" w:lineRule="auto"/>
              <w:textAlignment w:val="auto"/>
              <w:rPr>
                <w:rFonts w:ascii="宋体" w:eastAsia="宋体" w:hAnsi="宋体" w:cs="宋体" w:hint="eastAsia"/>
                <w:sz w:val="21"/>
                <w:szCs w:val="21"/>
                <w:highlight w:val="none"/>
                <w:lang w:val="en-US" w:eastAsia="zh-CN"/>
              </w:rPr>
            </w:pPr>
            <w:r>
              <w:rPr>
                <w:rFonts w:ascii="宋体" w:eastAsia="宋体" w:hAnsi="宋体" w:cs="宋体" w:hint="eastAsia"/>
                <w:kern w:val="0"/>
                <w:sz w:val="21"/>
                <w:szCs w:val="21"/>
                <w:highlight w:val="none"/>
                <w:lang w:val="en-US" w:eastAsia="zh-CN"/>
              </w:rPr>
              <w:t>3.设施更换吊装及设施更换停送电安全管理措施；</w:t>
            </w:r>
          </w:p>
          <w:p>
            <w:pPr>
              <w:pStyle w:val="a"/>
              <w:keepNext w:val="0"/>
              <w:keepLines w:val="0"/>
              <w:pageBreakBefore w:val="0"/>
              <w:kinsoku/>
              <w:wordWrap/>
              <w:overflowPunct/>
              <w:topLinePunct w:val="0"/>
              <w:bidi w:val="0"/>
              <w:spacing w:before="0" w:after="0" w:line="360" w:lineRule="auto"/>
              <w:textAlignment w:val="auto"/>
              <w:rPr>
                <w:rFonts w:ascii="宋体" w:eastAsia="宋体" w:hAnsi="宋体" w:cs="宋体" w:hint="eastAsia"/>
                <w:sz w:val="21"/>
                <w:szCs w:val="21"/>
                <w:highlight w:val="none"/>
                <w:lang w:val="en-US" w:eastAsia="zh-CN"/>
              </w:rPr>
            </w:pPr>
            <w:r>
              <w:rPr>
                <w:rFonts w:ascii="宋体" w:eastAsia="宋体" w:hAnsi="宋体" w:cs="宋体" w:hint="eastAsia"/>
                <w:kern w:val="0"/>
                <w:sz w:val="21"/>
                <w:szCs w:val="21"/>
                <w:highlight w:val="none"/>
                <w:lang w:val="en-US" w:eastAsia="zh-CN"/>
              </w:rPr>
              <w:t>4.安全生产档案管理。</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kern w:val="0"/>
                <w:sz w:val="21"/>
                <w:szCs w:val="21"/>
              </w:rPr>
            </w:pP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kern w:val="0"/>
                <w:sz w:val="21"/>
                <w:szCs w:val="21"/>
              </w:rPr>
              <w:t>（二）评分标准：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方案包含以上</w:t>
            </w:r>
            <w:r>
              <w:rPr>
                <w:rFonts w:ascii="宋体" w:eastAsia="宋体" w:hAnsi="宋体" w:cs="宋体" w:hint="eastAsia"/>
                <w:sz w:val="21"/>
                <w:szCs w:val="21"/>
                <w:lang w:val="en-US" w:eastAsia="zh-CN"/>
              </w:rPr>
              <w:t>四</w:t>
            </w:r>
            <w:r>
              <w:rPr>
                <w:rFonts w:ascii="宋体" w:eastAsia="宋体" w:hAnsi="宋体" w:cs="宋体" w:hint="eastAsia"/>
                <w:sz w:val="21"/>
                <w:szCs w:val="21"/>
              </w:rPr>
              <w:t>项内容得</w:t>
            </w:r>
            <w:r>
              <w:rPr>
                <w:rFonts w:ascii="宋体" w:eastAsia="宋体" w:hAnsi="宋体" w:cs="宋体" w:hint="eastAsia"/>
                <w:sz w:val="21"/>
                <w:szCs w:val="21"/>
                <w:lang w:val="en-US" w:eastAsia="zh-CN"/>
              </w:rPr>
              <w:t>30</w:t>
            </w:r>
            <w:r>
              <w:rPr>
                <w:rFonts w:ascii="宋体" w:eastAsia="宋体" w:hAnsi="宋体" w:cs="宋体" w:hint="eastAsia"/>
                <w:sz w:val="21"/>
                <w:szCs w:val="21"/>
              </w:rPr>
              <w:t>分；包含以上</w:t>
            </w:r>
            <w:r>
              <w:rPr>
                <w:rFonts w:ascii="宋体" w:eastAsia="宋体" w:hAnsi="宋体" w:cs="宋体" w:hint="eastAsia"/>
                <w:sz w:val="21"/>
                <w:szCs w:val="21"/>
                <w:lang w:val="en-US" w:eastAsia="zh-CN"/>
              </w:rPr>
              <w:t>三</w:t>
            </w:r>
            <w:r>
              <w:rPr>
                <w:rFonts w:ascii="宋体" w:eastAsia="宋体" w:hAnsi="宋体" w:cs="宋体" w:hint="eastAsia"/>
                <w:sz w:val="21"/>
                <w:szCs w:val="21"/>
              </w:rPr>
              <w:t>项内容得</w:t>
            </w:r>
            <w:r>
              <w:rPr>
                <w:rFonts w:ascii="宋体" w:eastAsia="宋体" w:hAnsi="宋体" w:cs="宋体" w:hint="eastAsia"/>
                <w:sz w:val="21"/>
                <w:szCs w:val="21"/>
                <w:lang w:val="en-US" w:eastAsia="zh-CN"/>
              </w:rPr>
              <w:t>2</w:t>
            </w:r>
            <w:r>
              <w:rPr>
                <w:rFonts w:ascii="宋体" w:eastAsia="宋体" w:hAnsi="宋体" w:cs="宋体" w:hint="eastAsia"/>
                <w:sz w:val="21"/>
                <w:szCs w:val="21"/>
              </w:rPr>
              <w:t>0分；包含以上</w:t>
            </w:r>
            <w:r>
              <w:rPr>
                <w:rFonts w:ascii="宋体" w:eastAsia="宋体" w:hAnsi="宋体" w:cs="宋体" w:hint="eastAsia"/>
                <w:sz w:val="21"/>
                <w:szCs w:val="21"/>
                <w:lang w:val="en-US" w:eastAsia="zh-CN"/>
              </w:rPr>
              <w:t>二</w:t>
            </w:r>
            <w:r>
              <w:rPr>
                <w:rFonts w:ascii="宋体" w:eastAsia="宋体" w:hAnsi="宋体" w:cs="宋体" w:hint="eastAsia"/>
                <w:sz w:val="21"/>
                <w:szCs w:val="21"/>
              </w:rPr>
              <w:t>项内容得</w:t>
            </w:r>
            <w:r>
              <w:rPr>
                <w:rFonts w:ascii="宋体" w:eastAsia="宋体" w:hAnsi="宋体" w:cs="宋体" w:hint="eastAsia"/>
                <w:sz w:val="21"/>
                <w:szCs w:val="21"/>
                <w:lang w:val="en-US" w:eastAsia="zh-CN"/>
              </w:rPr>
              <w:t>10</w:t>
            </w:r>
            <w:r>
              <w:rPr>
                <w:rFonts w:ascii="宋体" w:eastAsia="宋体" w:hAnsi="宋体" w:cs="宋体" w:hint="eastAsia"/>
                <w:sz w:val="21"/>
                <w:szCs w:val="21"/>
              </w:rPr>
              <w:t>分；其他情况不得分。在此基础上，根据方案响应情况进一步评审：</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1.方案内容全面、具体，可行性高，加</w:t>
            </w:r>
            <w:r>
              <w:rPr>
                <w:rFonts w:ascii="宋体" w:eastAsia="宋体" w:hAnsi="宋体" w:cs="宋体" w:hint="eastAsia"/>
                <w:sz w:val="21"/>
                <w:szCs w:val="21"/>
                <w:lang w:val="en-US" w:eastAsia="zh-CN"/>
              </w:rPr>
              <w:t>70</w:t>
            </w:r>
            <w:r>
              <w:rPr>
                <w:rFonts w:ascii="宋体" w:eastAsia="宋体" w:hAnsi="宋体" w:cs="宋体" w:hint="eastAsia"/>
                <w:sz w:val="21"/>
                <w:szCs w:val="21"/>
              </w:rPr>
              <w:t>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2.方案内容较全面，可行性较高，加</w:t>
            </w:r>
            <w:r>
              <w:rPr>
                <w:rFonts w:ascii="宋体" w:eastAsia="宋体" w:hAnsi="宋体" w:cs="宋体" w:hint="eastAsia"/>
                <w:sz w:val="21"/>
                <w:szCs w:val="21"/>
                <w:lang w:val="en-US" w:eastAsia="zh-CN"/>
              </w:rPr>
              <w:t>50</w:t>
            </w:r>
            <w:r>
              <w:rPr>
                <w:rFonts w:ascii="宋体" w:eastAsia="宋体" w:hAnsi="宋体" w:cs="宋体" w:hint="eastAsia"/>
                <w:sz w:val="21"/>
                <w:szCs w:val="21"/>
              </w:rPr>
              <w:t>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3.方案全面性、可行性一般，加</w:t>
            </w:r>
            <w:r>
              <w:rPr>
                <w:rFonts w:ascii="宋体" w:eastAsia="宋体" w:hAnsi="宋体" w:cs="宋体" w:hint="eastAsia"/>
                <w:sz w:val="21"/>
                <w:szCs w:val="21"/>
                <w:lang w:val="en-US" w:eastAsia="zh-CN"/>
              </w:rPr>
              <w:t>20</w:t>
            </w:r>
            <w:r>
              <w:rPr>
                <w:rFonts w:ascii="宋体" w:eastAsia="宋体" w:hAnsi="宋体" w:cs="宋体" w:hint="eastAsia"/>
                <w:sz w:val="21"/>
                <w:szCs w:val="21"/>
              </w:rPr>
              <w:t>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4.方案不全，可行性低，不加分。</w:t>
            </w:r>
          </w:p>
        </w:tc>
      </w:tr>
      <w:tr>
        <w:tblPrEx>
          <w:tblW w:w="9639" w:type="dxa"/>
          <w:jc w:val="center"/>
          <w:tblLayout w:type="fixed"/>
          <w:tblCellMar>
            <w:top w:w="20" w:type="dxa"/>
            <w:left w:w="108" w:type="dxa"/>
            <w:bottom w:w="20" w:type="dxa"/>
            <w:right w:w="108" w:type="dxa"/>
          </w:tblCellMar>
        </w:tblPrEx>
        <w:trPr>
          <w:jc w:val="center"/>
        </w:trPr>
        <w:tc>
          <w:tcPr>
            <w:tcW w:w="680" w:type="dxa"/>
            <w:vMerge/>
            <w:tcBorders>
              <w:left w:val="single" w:sz="8" w:space="0" w:color="000000"/>
              <w:right w:val="single" w:sz="8" w:space="0" w:color="000000"/>
            </w:tcBorders>
            <w:vAlign w:val="center"/>
          </w:tcPr>
          <w:p>
            <w:pPr>
              <w:keepNext w:val="0"/>
              <w:keepLines w:val="0"/>
              <w:pageBreakBefore w:val="0"/>
              <w:kinsoku/>
              <w:wordWrap/>
              <w:overflowPunct/>
              <w:topLinePunct w:val="0"/>
              <w:bidi w:val="0"/>
              <w:spacing w:line="360" w:lineRule="auto"/>
              <w:textAlignment w:val="auto"/>
              <w:rPr>
                <w:rFonts w:ascii="宋体" w:eastAsia="宋体" w:hAnsi="宋体" w:cs="宋体" w:hint="eastAsia"/>
                <w:b/>
                <w:bCs/>
                <w:color w:val="0000FF"/>
                <w:sz w:val="21"/>
                <w:szCs w:val="21"/>
              </w:rPr>
            </w:pPr>
          </w:p>
        </w:tc>
        <w:tc>
          <w:tcPr>
            <w:tcW w:w="680"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4</w:t>
            </w:r>
          </w:p>
        </w:tc>
        <w:tc>
          <w:tcPr>
            <w:tcW w:w="2835"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lang w:eastAsia="zh-CN"/>
              </w:rPr>
            </w:pPr>
            <w:r>
              <w:rPr>
                <w:rFonts w:ascii="宋体" w:eastAsia="宋体" w:hAnsi="宋体" w:cs="宋体" w:hint="eastAsia"/>
                <w:sz w:val="21"/>
                <w:szCs w:val="21"/>
                <w:highlight w:val="none"/>
              </w:rPr>
              <w:t>质量</w:t>
            </w:r>
            <w:r>
              <w:rPr>
                <w:rFonts w:ascii="宋体" w:eastAsia="宋体" w:hAnsi="宋体" w:cs="宋体" w:hint="eastAsia"/>
                <w:sz w:val="21"/>
                <w:szCs w:val="21"/>
                <w:highlight w:val="none"/>
                <w:lang w:val="en-US" w:eastAsia="zh-CN"/>
              </w:rPr>
              <w:t>保障措施及方案</w:t>
            </w:r>
          </w:p>
        </w:tc>
        <w:tc>
          <w:tcPr>
            <w:tcW w:w="681"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lang w:eastAsia="zh-CN"/>
              </w:rPr>
            </w:pPr>
            <w:r>
              <w:rPr>
                <w:rFonts w:ascii="宋体" w:eastAsia="宋体" w:hAnsi="宋体" w:cs="宋体" w:hint="eastAsia"/>
                <w:sz w:val="21"/>
                <w:szCs w:val="21"/>
                <w:lang w:val="en-US" w:eastAsia="zh-CN"/>
              </w:rPr>
              <w:t>4</w:t>
            </w:r>
          </w:p>
        </w:tc>
        <w:tc>
          <w:tcPr>
            <w:tcW w:w="4763"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（一）评分内容：</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考察投标人提供的</w:t>
            </w:r>
            <w:r>
              <w:rPr>
                <w:rFonts w:ascii="宋体" w:eastAsia="宋体" w:hAnsi="宋体" w:cs="宋体" w:hint="eastAsia"/>
                <w:sz w:val="21"/>
                <w:szCs w:val="21"/>
                <w:lang w:val="en-US" w:eastAsia="zh-CN"/>
              </w:rPr>
              <w:t>质量保障措施及方案</w:t>
            </w:r>
            <w:r>
              <w:rPr>
                <w:rFonts w:ascii="宋体" w:eastAsia="宋体" w:hAnsi="宋体" w:cs="宋体" w:hint="eastAsia"/>
                <w:sz w:val="21"/>
                <w:szCs w:val="21"/>
              </w:rPr>
              <w:t>，包含以下内容：</w:t>
            </w:r>
          </w:p>
          <w:p>
            <w:pPr>
              <w:wordWrap w:val="0"/>
              <w:spacing w:line="360" w:lineRule="auto"/>
              <w:jc w:val="left"/>
              <w:rPr>
                <w:rFonts w:ascii="宋体" w:eastAsia="宋体" w:hAnsi="宋体" w:cs="宋体" w:hint="eastAsia"/>
                <w:sz w:val="21"/>
                <w:szCs w:val="21"/>
              </w:rPr>
            </w:pPr>
            <w:r>
              <w:rPr>
                <w:rFonts w:ascii="宋体" w:eastAsia="宋体" w:hAnsi="宋体" w:cs="宋体" w:hint="eastAsia"/>
                <w:sz w:val="21"/>
                <w:szCs w:val="21"/>
              </w:rPr>
              <w:t>1.日常维护管理、信息报告提交、维护材料和备品备件质量可靠性分析、维护质量和保修措施；</w:t>
            </w:r>
          </w:p>
          <w:p>
            <w:pPr>
              <w:wordWrap w:val="0"/>
              <w:spacing w:line="360" w:lineRule="auto"/>
              <w:jc w:val="left"/>
              <w:rPr>
                <w:rFonts w:ascii="宋体" w:eastAsia="宋体" w:hAnsi="宋体" w:cs="宋体" w:hint="eastAsia"/>
                <w:kern w:val="0"/>
                <w:sz w:val="21"/>
                <w:szCs w:val="21"/>
              </w:rPr>
            </w:pPr>
            <w:r>
              <w:rPr>
                <w:rFonts w:ascii="宋体" w:eastAsia="宋体" w:hAnsi="宋体" w:cs="宋体" w:hint="eastAsia"/>
                <w:sz w:val="21"/>
                <w:szCs w:val="21"/>
              </w:rPr>
              <w:t>2.项目质量控制的技术方案和措施方案</w:t>
            </w:r>
            <w:r>
              <w:rPr>
                <w:rFonts w:ascii="宋体" w:eastAsia="宋体" w:hAnsi="宋体" w:cs="宋体" w:hint="eastAsia"/>
                <w:sz w:val="21"/>
                <w:szCs w:val="21"/>
                <w:lang w:eastAsia="zh-CN"/>
              </w:rPr>
              <w:t>。</w:t>
            </w: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kern w:val="0"/>
                <w:sz w:val="21"/>
                <w:szCs w:val="21"/>
              </w:rPr>
            </w:pP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kern w:val="0"/>
                <w:sz w:val="21"/>
                <w:szCs w:val="21"/>
              </w:rPr>
              <w:t>（二）评分标准：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方案包含以上</w:t>
            </w:r>
            <w:r>
              <w:rPr>
                <w:rFonts w:ascii="宋体" w:eastAsia="宋体" w:hAnsi="宋体" w:cs="宋体" w:hint="eastAsia"/>
                <w:sz w:val="21"/>
                <w:szCs w:val="21"/>
                <w:lang w:val="en-US" w:eastAsia="zh-CN"/>
              </w:rPr>
              <w:t>二</w:t>
            </w:r>
            <w:r>
              <w:rPr>
                <w:rFonts w:ascii="宋体" w:eastAsia="宋体" w:hAnsi="宋体" w:cs="宋体" w:hint="eastAsia"/>
                <w:sz w:val="21"/>
                <w:szCs w:val="21"/>
              </w:rPr>
              <w:t>项内容得</w:t>
            </w:r>
            <w:r>
              <w:rPr>
                <w:rFonts w:ascii="宋体" w:eastAsia="宋体" w:hAnsi="宋体" w:cs="宋体" w:hint="eastAsia"/>
                <w:sz w:val="21"/>
                <w:szCs w:val="21"/>
                <w:lang w:val="en-US" w:eastAsia="zh-CN"/>
              </w:rPr>
              <w:t>20</w:t>
            </w:r>
            <w:r>
              <w:rPr>
                <w:rFonts w:ascii="宋体" w:eastAsia="宋体" w:hAnsi="宋体" w:cs="宋体" w:hint="eastAsia"/>
                <w:sz w:val="21"/>
                <w:szCs w:val="21"/>
              </w:rPr>
              <w:t>分；包含以上一项内容得</w:t>
            </w:r>
            <w:r>
              <w:rPr>
                <w:rFonts w:ascii="宋体" w:eastAsia="宋体" w:hAnsi="宋体" w:cs="宋体" w:hint="eastAsia"/>
                <w:sz w:val="21"/>
                <w:szCs w:val="21"/>
                <w:lang w:val="en-US" w:eastAsia="zh-CN"/>
              </w:rPr>
              <w:t>10</w:t>
            </w:r>
            <w:r>
              <w:rPr>
                <w:rFonts w:ascii="宋体" w:eastAsia="宋体" w:hAnsi="宋体" w:cs="宋体" w:hint="eastAsia"/>
                <w:sz w:val="21"/>
                <w:szCs w:val="21"/>
              </w:rPr>
              <w:t>分；其他情况不得分。在此基础上，根据方案响应情况进一步评审：</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1.方案内容全面、具体，可行性高，加</w:t>
            </w:r>
            <w:r>
              <w:rPr>
                <w:rFonts w:ascii="宋体" w:eastAsia="宋体" w:hAnsi="宋体" w:cs="宋体" w:hint="eastAsia"/>
                <w:sz w:val="21"/>
                <w:szCs w:val="21"/>
                <w:lang w:val="en-US" w:eastAsia="zh-CN"/>
              </w:rPr>
              <w:t>80</w:t>
            </w:r>
            <w:r>
              <w:rPr>
                <w:rFonts w:ascii="宋体" w:eastAsia="宋体" w:hAnsi="宋体" w:cs="宋体" w:hint="eastAsia"/>
                <w:sz w:val="21"/>
                <w:szCs w:val="21"/>
              </w:rPr>
              <w:t>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2.方案内容较全面，可行性较高，加</w:t>
            </w:r>
            <w:r>
              <w:rPr>
                <w:rFonts w:ascii="宋体" w:eastAsia="宋体" w:hAnsi="宋体" w:cs="宋体" w:hint="eastAsia"/>
                <w:sz w:val="21"/>
                <w:szCs w:val="21"/>
                <w:lang w:val="en-US" w:eastAsia="zh-CN"/>
              </w:rPr>
              <w:t>50</w:t>
            </w:r>
            <w:r>
              <w:rPr>
                <w:rFonts w:ascii="宋体" w:eastAsia="宋体" w:hAnsi="宋体" w:cs="宋体" w:hint="eastAsia"/>
                <w:sz w:val="21"/>
                <w:szCs w:val="21"/>
              </w:rPr>
              <w:t>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3.方案全面性、可行性一般，加</w:t>
            </w:r>
            <w:r>
              <w:rPr>
                <w:rFonts w:ascii="宋体" w:eastAsia="宋体" w:hAnsi="宋体" w:cs="宋体" w:hint="eastAsia"/>
                <w:sz w:val="21"/>
                <w:szCs w:val="21"/>
                <w:lang w:val="en-US" w:eastAsia="zh-CN"/>
              </w:rPr>
              <w:t>20</w:t>
            </w:r>
            <w:r>
              <w:rPr>
                <w:rFonts w:ascii="宋体" w:eastAsia="宋体" w:hAnsi="宋体" w:cs="宋体" w:hint="eastAsia"/>
                <w:sz w:val="21"/>
                <w:szCs w:val="21"/>
              </w:rPr>
              <w:t>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4.方案不全，可行性低，不加分。</w:t>
            </w:r>
          </w:p>
        </w:tc>
      </w:tr>
      <w:tr>
        <w:tblPrEx>
          <w:tblW w:w="9639" w:type="dxa"/>
          <w:jc w:val="center"/>
          <w:tblLayout w:type="fixed"/>
          <w:tblCellMar>
            <w:top w:w="20" w:type="dxa"/>
            <w:left w:w="108" w:type="dxa"/>
            <w:bottom w:w="20" w:type="dxa"/>
            <w:right w:w="108" w:type="dxa"/>
          </w:tblCellMar>
        </w:tblPrEx>
        <w:trPr>
          <w:jc w:val="center"/>
        </w:trPr>
        <w:tc>
          <w:tcPr>
            <w:tcW w:w="680" w:type="dxa"/>
            <w:vMerge/>
            <w:tcBorders>
              <w:left w:val="single" w:sz="8" w:space="0" w:color="000000"/>
              <w:right w:val="single" w:sz="8" w:space="0" w:color="000000"/>
            </w:tcBorders>
            <w:vAlign w:val="center"/>
          </w:tcPr>
          <w:p>
            <w:pPr>
              <w:keepNext w:val="0"/>
              <w:keepLines w:val="0"/>
              <w:pageBreakBefore w:val="0"/>
              <w:kinsoku/>
              <w:wordWrap/>
              <w:overflowPunct/>
              <w:topLinePunct w:val="0"/>
              <w:bidi w:val="0"/>
              <w:spacing w:line="360" w:lineRule="auto"/>
              <w:textAlignment w:val="auto"/>
              <w:rPr>
                <w:rFonts w:ascii="宋体" w:eastAsia="宋体" w:hAnsi="宋体" w:cs="宋体" w:hint="eastAsia"/>
                <w:b/>
                <w:bCs/>
                <w:color w:val="0000FF"/>
                <w:sz w:val="21"/>
                <w:szCs w:val="21"/>
              </w:rPr>
            </w:pPr>
          </w:p>
        </w:tc>
        <w:tc>
          <w:tcPr>
            <w:tcW w:w="680"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5</w:t>
            </w:r>
          </w:p>
        </w:tc>
        <w:tc>
          <w:tcPr>
            <w:tcW w:w="2835"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rPr>
            </w:pPr>
            <w:r>
              <w:rPr>
                <w:rFonts w:ascii="宋体" w:eastAsia="宋体" w:hAnsi="宋体" w:cs="宋体" w:hint="eastAsia"/>
                <w:sz w:val="21"/>
                <w:szCs w:val="21"/>
              </w:rPr>
              <w:t>拟投入使用材料的品牌（节能环保情况）、档次及质量可靠性</w:t>
            </w:r>
          </w:p>
        </w:tc>
        <w:tc>
          <w:tcPr>
            <w:tcW w:w="681"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8</w:t>
            </w:r>
          </w:p>
        </w:tc>
        <w:tc>
          <w:tcPr>
            <w:tcW w:w="4763"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（一）评分内容：</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snapToGrid w:val="0"/>
                <w:kern w:val="0"/>
                <w:sz w:val="21"/>
                <w:szCs w:val="21"/>
              </w:rPr>
              <w:t>考察投标人提供的</w:t>
            </w:r>
            <w:r>
              <w:rPr>
                <w:rFonts w:ascii="宋体" w:eastAsia="宋体" w:hAnsi="宋体" w:cs="宋体" w:hint="eastAsia"/>
                <w:sz w:val="21"/>
                <w:szCs w:val="21"/>
              </w:rPr>
              <w:t>材料</w:t>
            </w:r>
            <w:r>
              <w:rPr>
                <w:rFonts w:ascii="宋体" w:eastAsia="宋体" w:hAnsi="宋体" w:cs="宋体" w:hint="eastAsia"/>
                <w:kern w:val="0"/>
                <w:sz w:val="21"/>
                <w:szCs w:val="21"/>
                <w:lang w:val="en-US" w:eastAsia="zh-CN"/>
              </w:rPr>
              <w:t>(含环网柜</w:t>
            </w:r>
            <w:r>
              <w:rPr>
                <w:rFonts w:ascii="宋体" w:eastAsia="宋体" w:hAnsi="宋体" w:cs="宋体" w:hint="eastAsia"/>
                <w:kern w:val="0"/>
                <w:sz w:val="21"/>
                <w:szCs w:val="21"/>
              </w:rPr>
              <w:t>、</w:t>
            </w:r>
            <w:r>
              <w:rPr>
                <w:rFonts w:ascii="宋体" w:eastAsia="宋体" w:hAnsi="宋体" w:cs="宋体" w:hint="eastAsia"/>
                <w:kern w:val="0"/>
                <w:sz w:val="21"/>
                <w:szCs w:val="21"/>
                <w:lang w:val="en-US" w:eastAsia="zh-CN"/>
              </w:rPr>
              <w:t>变压器</w:t>
            </w:r>
            <w:r>
              <w:rPr>
                <w:rFonts w:ascii="宋体" w:eastAsia="宋体" w:hAnsi="宋体" w:cs="宋体" w:hint="eastAsia"/>
                <w:kern w:val="0"/>
                <w:sz w:val="21"/>
                <w:szCs w:val="21"/>
              </w:rPr>
              <w:t>、</w:t>
            </w:r>
            <w:r>
              <w:rPr>
                <w:rFonts w:ascii="宋体" w:eastAsia="宋体" w:hAnsi="宋体" w:cs="宋体" w:hint="eastAsia"/>
                <w:kern w:val="0"/>
                <w:sz w:val="21"/>
                <w:szCs w:val="21"/>
                <w:lang w:val="en-US" w:eastAsia="zh-CN"/>
              </w:rPr>
              <w:t>电缆及低压断路器</w:t>
            </w:r>
            <w:r>
              <w:rPr>
                <w:rFonts w:ascii="宋体" w:eastAsia="宋体" w:hAnsi="宋体" w:cs="宋体" w:hint="eastAsia"/>
                <w:sz w:val="21"/>
                <w:szCs w:val="21"/>
              </w:rPr>
              <w:t>）</w:t>
            </w:r>
            <w:r>
              <w:rPr>
                <w:rFonts w:ascii="宋体" w:eastAsia="宋体" w:hAnsi="宋体" w:cs="宋体" w:hint="eastAsia"/>
                <w:sz w:val="21"/>
                <w:szCs w:val="21"/>
                <w:lang w:val="en-US" w:eastAsia="zh-CN"/>
              </w:rPr>
              <w:t>的</w:t>
            </w:r>
            <w:r>
              <w:rPr>
                <w:rFonts w:ascii="宋体" w:eastAsia="宋体" w:hAnsi="宋体" w:cs="宋体" w:hint="eastAsia"/>
                <w:sz w:val="21"/>
                <w:szCs w:val="21"/>
              </w:rPr>
              <w:t>响应方案</w:t>
            </w:r>
            <w:r>
              <w:rPr>
                <w:rFonts w:ascii="宋体" w:eastAsia="宋体" w:hAnsi="宋体" w:cs="宋体" w:hint="eastAsia"/>
                <w:kern w:val="0"/>
                <w:sz w:val="21"/>
                <w:szCs w:val="21"/>
              </w:rPr>
              <w:t>，包含以下内容：</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（1）</w:t>
            </w:r>
            <w:r>
              <w:rPr>
                <w:rFonts w:ascii="宋体" w:eastAsia="宋体" w:hAnsi="宋体" w:cs="宋体" w:hint="eastAsia"/>
                <w:kern w:val="0"/>
                <w:sz w:val="21"/>
                <w:szCs w:val="21"/>
                <w:lang w:val="en-US" w:eastAsia="zh-CN"/>
              </w:rPr>
              <w:t>环网柜</w:t>
            </w:r>
            <w:r>
              <w:rPr>
                <w:rFonts w:ascii="宋体" w:eastAsia="宋体" w:hAnsi="宋体" w:cs="宋体" w:hint="eastAsia"/>
                <w:kern w:val="0"/>
                <w:sz w:val="21"/>
                <w:szCs w:val="21"/>
              </w:rPr>
              <w:t>、</w:t>
            </w:r>
            <w:r>
              <w:rPr>
                <w:rFonts w:ascii="宋体" w:eastAsia="宋体" w:hAnsi="宋体" w:cs="宋体" w:hint="eastAsia"/>
                <w:kern w:val="0"/>
                <w:sz w:val="21"/>
                <w:szCs w:val="21"/>
                <w:lang w:val="en-US" w:eastAsia="zh-CN"/>
              </w:rPr>
              <w:t>变压器</w:t>
            </w:r>
            <w:r>
              <w:rPr>
                <w:rFonts w:ascii="宋体" w:eastAsia="宋体" w:hAnsi="宋体" w:cs="宋体" w:hint="eastAsia"/>
                <w:kern w:val="0"/>
                <w:sz w:val="21"/>
                <w:szCs w:val="21"/>
              </w:rPr>
              <w:t>、</w:t>
            </w:r>
            <w:r>
              <w:rPr>
                <w:rFonts w:ascii="宋体" w:eastAsia="宋体" w:hAnsi="宋体" w:cs="宋体" w:hint="eastAsia"/>
                <w:kern w:val="0"/>
                <w:sz w:val="21"/>
                <w:szCs w:val="21"/>
                <w:lang w:val="en-US" w:eastAsia="zh-CN"/>
              </w:rPr>
              <w:t>电缆及低压断路器的档次及质量可靠性达到优良及以上质量等级标准，每一项材料达到优良标准，得20分，本项最高得分80分；</w:t>
            </w: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kern w:val="0"/>
                <w:sz w:val="21"/>
                <w:szCs w:val="21"/>
                <w:lang w:val="en-US" w:eastAsia="zh-CN"/>
              </w:rPr>
            </w:pPr>
            <w:r>
              <w:rPr>
                <w:rFonts w:ascii="宋体" w:eastAsia="宋体" w:hAnsi="宋体" w:cs="宋体" w:hint="eastAsia"/>
                <w:sz w:val="21"/>
                <w:szCs w:val="21"/>
                <w:lang w:val="en-US" w:eastAsia="zh-CN"/>
              </w:rPr>
              <w:t>（2）</w:t>
            </w:r>
            <w:r>
              <w:rPr>
                <w:rFonts w:ascii="宋体" w:eastAsia="宋体" w:hAnsi="宋体" w:cs="宋体" w:hint="eastAsia"/>
                <w:kern w:val="0"/>
                <w:sz w:val="21"/>
                <w:szCs w:val="21"/>
                <w:lang w:val="en-US" w:eastAsia="zh-CN"/>
              </w:rPr>
              <w:t>提供环网柜</w:t>
            </w:r>
            <w:r>
              <w:rPr>
                <w:rFonts w:ascii="宋体" w:eastAsia="宋体" w:hAnsi="宋体" w:cs="宋体" w:hint="eastAsia"/>
                <w:kern w:val="0"/>
                <w:sz w:val="21"/>
                <w:szCs w:val="21"/>
              </w:rPr>
              <w:t>、</w:t>
            </w:r>
            <w:r>
              <w:rPr>
                <w:rFonts w:ascii="宋体" w:eastAsia="宋体" w:hAnsi="宋体" w:cs="宋体" w:hint="eastAsia"/>
                <w:kern w:val="0"/>
                <w:sz w:val="21"/>
                <w:szCs w:val="21"/>
                <w:lang w:val="en-US" w:eastAsia="zh-CN"/>
              </w:rPr>
              <w:t>变压器</w:t>
            </w:r>
            <w:r>
              <w:rPr>
                <w:rFonts w:ascii="宋体" w:eastAsia="宋体" w:hAnsi="宋体" w:cs="宋体" w:hint="eastAsia"/>
                <w:kern w:val="0"/>
                <w:sz w:val="21"/>
                <w:szCs w:val="21"/>
              </w:rPr>
              <w:t>、</w:t>
            </w:r>
            <w:r>
              <w:rPr>
                <w:rFonts w:ascii="宋体" w:eastAsia="宋体" w:hAnsi="宋体" w:cs="宋体" w:hint="eastAsia"/>
                <w:kern w:val="0"/>
                <w:sz w:val="21"/>
                <w:szCs w:val="21"/>
                <w:lang w:val="en-US" w:eastAsia="zh-CN"/>
              </w:rPr>
              <w:t>电缆及低压断路器的</w:t>
            </w:r>
            <w:r>
              <w:rPr>
                <w:rFonts w:ascii="宋体" w:eastAsia="宋体" w:hAnsi="宋体" w:cs="宋体" w:hint="eastAsia"/>
                <w:sz w:val="21"/>
                <w:szCs w:val="21"/>
              </w:rPr>
              <w:t>第三方检测单位的合格检验（检测）报告</w:t>
            </w:r>
            <w:r>
              <w:rPr>
                <w:rFonts w:ascii="宋体" w:eastAsia="宋体" w:hAnsi="宋体" w:cs="宋体" w:hint="eastAsia"/>
                <w:kern w:val="0"/>
                <w:sz w:val="21"/>
                <w:szCs w:val="21"/>
                <w:lang w:val="en-US" w:eastAsia="zh-CN"/>
              </w:rPr>
              <w:t>，每一项材料提供报告，得5分，本项最高得分20分</w:t>
            </w:r>
            <w:r>
              <w:rPr>
                <w:rFonts w:ascii="宋体" w:eastAsia="宋体" w:hAnsi="宋体" w:cs="宋体" w:hint="eastAsia"/>
                <w:sz w:val="21"/>
                <w:szCs w:val="21"/>
                <w:lang w:eastAsia="zh-CN"/>
              </w:rPr>
              <w:t>。</w:t>
            </w:r>
          </w:p>
          <w:p>
            <w:pPr>
              <w:pStyle w:val="a"/>
              <w:keepNext w:val="0"/>
              <w:keepLines w:val="0"/>
              <w:pageBreakBefore w:val="0"/>
              <w:kinsoku/>
              <w:wordWrap/>
              <w:overflowPunct/>
              <w:topLinePunct w:val="0"/>
              <w:bidi w:val="0"/>
              <w:spacing w:before="0" w:after="0" w:line="360" w:lineRule="auto"/>
              <w:textAlignment w:val="auto"/>
              <w:rPr>
                <w:rFonts w:ascii="宋体" w:eastAsia="宋体" w:hAnsi="宋体" w:cs="宋体" w:hint="eastAsia"/>
                <w:sz w:val="21"/>
                <w:szCs w:val="21"/>
                <w:lang w:val="en-US" w:eastAsia="zh-CN"/>
              </w:rPr>
            </w:pP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kern w:val="0"/>
                <w:sz w:val="21"/>
                <w:szCs w:val="21"/>
              </w:rPr>
              <w:t>（二）评分标准：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lang w:val="en-US" w:eastAsia="zh-CN"/>
              </w:rPr>
              <w:t>1</w:t>
            </w:r>
            <w:r>
              <w:rPr>
                <w:rFonts w:ascii="宋体" w:eastAsia="宋体" w:hAnsi="宋体" w:cs="宋体" w:hint="eastAsia"/>
                <w:sz w:val="21"/>
                <w:szCs w:val="21"/>
              </w:rPr>
              <w:t>.上述评分内容第（1）项</w:t>
            </w:r>
            <w:r>
              <w:rPr>
                <w:rFonts w:ascii="宋体" w:eastAsia="宋体" w:hAnsi="宋体" w:cs="宋体" w:hint="eastAsia"/>
                <w:sz w:val="21"/>
                <w:szCs w:val="21"/>
                <w:lang w:val="en-US" w:eastAsia="zh-CN"/>
              </w:rPr>
              <w:t>提供</w:t>
            </w:r>
            <w:r>
              <w:rPr>
                <w:rFonts w:ascii="宋体" w:eastAsia="宋体" w:hAnsi="宋体" w:cs="宋体" w:hint="eastAsia"/>
                <w:kern w:val="0"/>
                <w:sz w:val="21"/>
                <w:szCs w:val="21"/>
                <w:lang w:val="en-US" w:eastAsia="zh-CN"/>
              </w:rPr>
              <w:t>维护材料的具体</w:t>
            </w:r>
            <w:r>
              <w:rPr>
                <w:rFonts w:ascii="宋体" w:eastAsia="宋体" w:hAnsi="宋体" w:cs="宋体" w:hint="eastAsia"/>
                <w:sz w:val="21"/>
                <w:szCs w:val="21"/>
                <w:lang w:val="en-US" w:eastAsia="zh-CN"/>
              </w:rPr>
              <w:t>品牌，</w:t>
            </w:r>
            <w:r>
              <w:rPr>
                <w:rFonts w:ascii="宋体" w:eastAsia="宋体" w:hAnsi="宋体" w:cs="宋体" w:hint="eastAsia"/>
                <w:kern w:val="0"/>
                <w:sz w:val="21"/>
                <w:szCs w:val="21"/>
                <w:lang w:val="en-US" w:eastAsia="zh-CN"/>
              </w:rPr>
              <w:t>优良的质量等级标准参考招标文件</w:t>
            </w:r>
            <w:r>
              <w:rPr>
                <w:rFonts w:ascii="宋体" w:eastAsia="宋体" w:hAnsi="宋体" w:cs="宋体" w:hint="eastAsia"/>
                <w:b/>
                <w:bCs/>
                <w:kern w:val="0"/>
                <w:sz w:val="21"/>
                <w:szCs w:val="21"/>
                <w:lang w:val="en-US" w:eastAsia="zh-CN"/>
              </w:rPr>
              <w:t>“第二章  招标项目需求”中“四、项目服务要求”里的“（五）具体服务要求”中“4.设备材料选型”</w:t>
            </w:r>
            <w:r>
              <w:rPr>
                <w:rFonts w:ascii="宋体" w:eastAsia="宋体" w:hAnsi="宋体" w:cs="宋体" w:hint="eastAsia"/>
                <w:kern w:val="0"/>
                <w:sz w:val="21"/>
                <w:szCs w:val="21"/>
                <w:lang w:val="en-US" w:eastAsia="zh-CN"/>
              </w:rPr>
              <w:t>，优良以上的等级标准是指高于或等于推荐品牌的质量及所列标准，如投标人提供的维护材料品牌不是招标文件中列举的推荐品牌，则需要提供相关证明文件来佐证该品牌质量及标准是高于或等于招标文件中列举的推荐品牌</w:t>
            </w:r>
            <w:r>
              <w:rPr>
                <w:rFonts w:ascii="宋体" w:eastAsia="宋体" w:hAnsi="宋体" w:cs="宋体" w:hint="eastAsia"/>
                <w:sz w:val="21"/>
                <w:szCs w:val="21"/>
              </w:rPr>
              <w:t>；</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2.上述评分内容第（</w:t>
            </w:r>
            <w:r>
              <w:rPr>
                <w:rFonts w:ascii="宋体" w:eastAsia="宋体" w:hAnsi="宋体" w:cs="宋体" w:hint="eastAsia"/>
                <w:sz w:val="21"/>
                <w:szCs w:val="21"/>
                <w:lang w:val="en-US" w:eastAsia="zh-CN"/>
              </w:rPr>
              <w:t>2</w:t>
            </w:r>
            <w:r>
              <w:rPr>
                <w:rFonts w:ascii="宋体" w:eastAsia="宋体" w:hAnsi="宋体" w:cs="宋体" w:hint="eastAsia"/>
                <w:sz w:val="21"/>
                <w:szCs w:val="21"/>
              </w:rPr>
              <w:t>）项</w:t>
            </w:r>
            <w:r>
              <w:rPr>
                <w:rFonts w:ascii="宋体" w:eastAsia="宋体" w:hAnsi="宋体" w:cs="宋体" w:hint="eastAsia"/>
                <w:sz w:val="21"/>
                <w:szCs w:val="21"/>
                <w:lang w:val="en-US" w:eastAsia="zh-CN"/>
              </w:rPr>
              <w:t>要求提供具有</w:t>
            </w:r>
            <w:r>
              <w:rPr>
                <w:rFonts w:ascii="宋体" w:eastAsia="宋体" w:hAnsi="宋体" w:cs="宋体" w:hint="eastAsia"/>
                <w:sz w:val="21"/>
                <w:szCs w:val="21"/>
              </w:rPr>
              <w:t>CMA标识</w:t>
            </w:r>
            <w:r>
              <w:rPr>
                <w:rFonts w:ascii="宋体" w:eastAsia="宋体" w:hAnsi="宋体" w:cs="宋体" w:hint="eastAsia"/>
                <w:sz w:val="21"/>
                <w:szCs w:val="21"/>
                <w:lang w:val="en-US" w:eastAsia="zh-CN"/>
              </w:rPr>
              <w:t>的</w:t>
            </w:r>
            <w:r>
              <w:rPr>
                <w:rFonts w:ascii="宋体" w:eastAsia="宋体" w:hAnsi="宋体" w:cs="宋体" w:hint="eastAsia"/>
                <w:sz w:val="21"/>
                <w:szCs w:val="21"/>
              </w:rPr>
              <w:t>检验（检测）</w:t>
            </w:r>
            <w:r>
              <w:rPr>
                <w:rFonts w:ascii="宋体" w:eastAsia="宋体" w:hAnsi="宋体" w:cs="宋体" w:hint="eastAsia"/>
                <w:sz w:val="21"/>
                <w:szCs w:val="21"/>
                <w:lang w:val="en-US" w:eastAsia="zh-CN"/>
              </w:rPr>
              <w:t>报告作为得分依据</w:t>
            </w:r>
            <w:r>
              <w:rPr>
                <w:rFonts w:ascii="宋体" w:eastAsia="宋体" w:hAnsi="宋体" w:cs="宋体" w:hint="eastAsia"/>
                <w:sz w:val="21"/>
                <w:szCs w:val="21"/>
              </w:rPr>
              <w:t>；</w:t>
            </w:r>
          </w:p>
          <w:p>
            <w:pPr>
              <w:pStyle w:val="a"/>
              <w:spacing w:before="0" w:after="0" w:line="360" w:lineRule="auto"/>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3.提供以上证明文件扫描件，如涉及网站截图或照片等证明材料,需提供清晰图片,原件备查。未按要求提供有效证明材料或提供不清晰导致评委无法识别的不计得分。</w:t>
            </w:r>
          </w:p>
        </w:tc>
      </w:tr>
      <w:tr>
        <w:tblPrEx>
          <w:tblW w:w="9639" w:type="dxa"/>
          <w:jc w:val="center"/>
          <w:tblLayout w:type="fixed"/>
          <w:tblCellMar>
            <w:top w:w="20" w:type="dxa"/>
            <w:left w:w="108" w:type="dxa"/>
            <w:bottom w:w="20" w:type="dxa"/>
            <w:right w:w="108" w:type="dxa"/>
          </w:tblCellMar>
        </w:tblPrEx>
        <w:trPr>
          <w:jc w:val="center"/>
        </w:trPr>
        <w:tc>
          <w:tcPr>
            <w:tcW w:w="680" w:type="dxa"/>
            <w:vMerge/>
            <w:tcBorders>
              <w:left w:val="single" w:sz="8" w:space="0" w:color="000000"/>
              <w:right w:val="single" w:sz="8" w:space="0" w:color="000000"/>
            </w:tcBorders>
            <w:vAlign w:val="center"/>
          </w:tcPr>
          <w:p>
            <w:pPr>
              <w:keepNext w:val="0"/>
              <w:keepLines w:val="0"/>
              <w:pageBreakBefore w:val="0"/>
              <w:kinsoku/>
              <w:wordWrap/>
              <w:overflowPunct/>
              <w:topLinePunct w:val="0"/>
              <w:bidi w:val="0"/>
              <w:spacing w:line="360" w:lineRule="auto"/>
              <w:textAlignment w:val="auto"/>
              <w:rPr>
                <w:rFonts w:ascii="宋体" w:eastAsia="宋体" w:hAnsi="宋体" w:cs="宋体" w:hint="eastAsia"/>
                <w:b/>
                <w:bCs/>
                <w:color w:val="0000FF"/>
                <w:sz w:val="21"/>
                <w:szCs w:val="21"/>
              </w:rPr>
            </w:pPr>
          </w:p>
        </w:tc>
        <w:tc>
          <w:tcPr>
            <w:tcW w:w="680"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lang w:eastAsia="zh-CN"/>
              </w:rPr>
            </w:pPr>
            <w:r>
              <w:rPr>
                <w:rFonts w:ascii="宋体" w:eastAsia="宋体" w:hAnsi="宋体" w:cs="宋体" w:hint="eastAsia"/>
                <w:sz w:val="21"/>
                <w:szCs w:val="21"/>
                <w:lang w:val="en-US" w:eastAsia="zh-CN"/>
              </w:rPr>
              <w:t>6</w:t>
            </w:r>
          </w:p>
        </w:tc>
        <w:tc>
          <w:tcPr>
            <w:tcW w:w="2835"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rPr>
            </w:pPr>
            <w:r>
              <w:rPr>
                <w:rFonts w:ascii="宋体" w:eastAsia="宋体" w:hAnsi="宋体" w:cs="宋体" w:hint="eastAsia"/>
                <w:sz w:val="21"/>
                <w:szCs w:val="21"/>
              </w:rPr>
              <w:t>拟安排的项目负责人情况（仅限一人）</w:t>
            </w:r>
          </w:p>
        </w:tc>
        <w:tc>
          <w:tcPr>
            <w:tcW w:w="681"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5</w:t>
            </w:r>
          </w:p>
        </w:tc>
        <w:tc>
          <w:tcPr>
            <w:tcW w:w="4763"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（一）评分内容：</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拟安排的项目负责人（仅限1人）需为投标人自有员工，否则本项不得分。在此基础上：</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（1）具有</w:t>
            </w:r>
            <w:r>
              <w:rPr>
                <w:rFonts w:ascii="宋体" w:eastAsia="宋体" w:hAnsi="宋体" w:cs="宋体" w:hint="eastAsia"/>
                <w:sz w:val="21"/>
                <w:szCs w:val="21"/>
                <w:lang w:eastAsia="zh-CN"/>
              </w:rPr>
              <w:t>一级建造师证（专业类别为机电工程）的</w:t>
            </w:r>
            <w:r>
              <w:rPr>
                <w:rFonts w:ascii="宋体" w:eastAsia="宋体" w:hAnsi="宋体" w:cs="宋体" w:hint="eastAsia"/>
                <w:sz w:val="21"/>
                <w:szCs w:val="21"/>
              </w:rPr>
              <w:t>得</w:t>
            </w:r>
            <w:r>
              <w:rPr>
                <w:rFonts w:ascii="宋体" w:eastAsia="宋体" w:hAnsi="宋体" w:cs="宋体" w:hint="eastAsia"/>
                <w:sz w:val="21"/>
                <w:szCs w:val="21"/>
                <w:lang w:val="en-US" w:eastAsia="zh-CN"/>
              </w:rPr>
              <w:t>5</w:t>
            </w:r>
            <w:r>
              <w:rPr>
                <w:rFonts w:ascii="宋体" w:eastAsia="宋体" w:hAnsi="宋体" w:cs="宋体" w:hint="eastAsia"/>
                <w:sz w:val="21"/>
                <w:szCs w:val="21"/>
              </w:rPr>
              <w:t>0分；</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ascii="宋体" w:eastAsia="宋体" w:hAnsi="宋体" w:cs="宋体" w:hint="eastAsia"/>
                <w:b w:val="0"/>
                <w:bCs w:val="0"/>
                <w:sz w:val="21"/>
                <w:szCs w:val="21"/>
                <w:highlight w:val="none"/>
              </w:rPr>
            </w:pPr>
            <w:r>
              <w:rPr>
                <w:rFonts w:ascii="宋体" w:eastAsia="宋体" w:hAnsi="宋体" w:cs="宋体" w:hint="eastAsia"/>
                <w:sz w:val="21"/>
                <w:szCs w:val="21"/>
              </w:rPr>
              <w:t>（2</w:t>
            </w:r>
            <w:r>
              <w:rPr>
                <w:rFonts w:ascii="宋体" w:eastAsia="宋体" w:hAnsi="宋体" w:cs="宋体" w:hint="eastAsia"/>
                <w:b w:val="0"/>
                <w:bCs w:val="0"/>
                <w:sz w:val="21"/>
                <w:szCs w:val="21"/>
                <w:highlight w:val="none"/>
              </w:rPr>
              <w:t>）项目负责人</w:t>
            </w:r>
            <w:r>
              <w:rPr>
                <w:rFonts w:ascii="宋体" w:eastAsia="宋体" w:hAnsi="宋体" w:cs="宋体" w:hint="eastAsia"/>
                <w:b w:val="0"/>
                <w:bCs w:val="0"/>
                <w:sz w:val="21"/>
                <w:szCs w:val="21"/>
                <w:highlight w:val="none"/>
                <w:lang w:val="en-US" w:eastAsia="zh-CN"/>
              </w:rPr>
              <w:t>在</w:t>
            </w:r>
            <w:r>
              <w:rPr>
                <w:rFonts w:ascii="宋体" w:eastAsia="宋体" w:hAnsi="宋体" w:cs="宋体" w:hint="eastAsia"/>
                <w:b w:val="0"/>
                <w:bCs w:val="0"/>
                <w:sz w:val="21"/>
                <w:szCs w:val="21"/>
                <w:highlight w:val="none"/>
              </w:rPr>
              <w:t>2021年1月1日至本项目投标截止日</w:t>
            </w:r>
            <w:r>
              <w:rPr>
                <w:rFonts w:ascii="宋体" w:eastAsia="宋体" w:hAnsi="宋体" w:cs="宋体" w:hint="eastAsia"/>
                <w:b w:val="0"/>
                <w:bCs w:val="0"/>
                <w:sz w:val="21"/>
                <w:szCs w:val="21"/>
                <w:highlight w:val="none"/>
                <w:lang w:eastAsia="zh-CN"/>
              </w:rPr>
              <w:t>（</w:t>
            </w:r>
            <w:r>
              <w:rPr>
                <w:rFonts w:ascii="宋体" w:eastAsia="宋体" w:hAnsi="宋体" w:cs="宋体" w:hint="eastAsia"/>
                <w:b w:val="0"/>
                <w:bCs w:val="0"/>
                <w:sz w:val="21"/>
                <w:szCs w:val="21"/>
                <w:highlight w:val="none"/>
              </w:rPr>
              <w:t>以</w:t>
            </w:r>
            <w:r>
              <w:rPr>
                <w:rFonts w:ascii="宋体" w:eastAsia="宋体" w:hAnsi="宋体" w:cs="宋体" w:hint="eastAsia"/>
                <w:b w:val="0"/>
                <w:bCs w:val="0"/>
                <w:sz w:val="21"/>
                <w:szCs w:val="21"/>
                <w:highlight w:val="none"/>
                <w:lang w:val="en-US" w:eastAsia="zh-CN"/>
              </w:rPr>
              <w:t>项目</w:t>
            </w:r>
            <w:r>
              <w:rPr>
                <w:rFonts w:ascii="宋体" w:eastAsia="宋体" w:hAnsi="宋体" w:cs="宋体" w:hint="eastAsia"/>
                <w:b w:val="0"/>
                <w:bCs w:val="0"/>
                <w:sz w:val="21"/>
                <w:szCs w:val="21"/>
                <w:highlight w:val="none"/>
              </w:rPr>
              <w:t>履约评价日期为准</w:t>
            </w:r>
            <w:r>
              <w:rPr>
                <w:rFonts w:ascii="宋体" w:eastAsia="宋体" w:hAnsi="宋体" w:cs="宋体" w:hint="eastAsia"/>
                <w:b w:val="0"/>
                <w:bCs w:val="0"/>
                <w:sz w:val="21"/>
                <w:szCs w:val="21"/>
                <w:highlight w:val="none"/>
                <w:lang w:val="en-US" w:eastAsia="zh-CN"/>
              </w:rPr>
              <w:t>）</w:t>
            </w:r>
            <w:r>
              <w:rPr>
                <w:rFonts w:ascii="宋体" w:eastAsia="宋体" w:hAnsi="宋体" w:cs="宋体" w:hint="eastAsia"/>
                <w:b w:val="0"/>
                <w:bCs w:val="0"/>
                <w:sz w:val="21"/>
                <w:szCs w:val="21"/>
                <w:highlight w:val="none"/>
              </w:rPr>
              <w:t>完成过高压（10kV或以上）设施</w:t>
            </w:r>
            <w:r>
              <w:rPr>
                <w:rFonts w:ascii="宋体" w:eastAsia="宋体" w:hAnsi="宋体" w:cs="宋体" w:hint="eastAsia"/>
                <w:b w:val="0"/>
                <w:bCs w:val="0"/>
                <w:sz w:val="21"/>
                <w:szCs w:val="21"/>
                <w:highlight w:val="none"/>
                <w:lang w:val="en-US" w:eastAsia="zh-CN"/>
              </w:rPr>
              <w:t>施工</w:t>
            </w:r>
            <w:r>
              <w:rPr>
                <w:rFonts w:ascii="宋体" w:eastAsia="宋体" w:hAnsi="宋体" w:cs="宋体" w:hint="eastAsia"/>
                <w:b w:val="0"/>
                <w:bCs w:val="0"/>
                <w:sz w:val="21"/>
                <w:szCs w:val="21"/>
                <w:highlight w:val="none"/>
              </w:rPr>
              <w:t>项目</w:t>
            </w:r>
            <w:r>
              <w:rPr>
                <w:rFonts w:ascii="宋体" w:eastAsia="宋体" w:hAnsi="宋体" w:cs="宋体" w:hint="eastAsia"/>
                <w:b w:val="0"/>
                <w:bCs w:val="0"/>
                <w:sz w:val="21"/>
                <w:szCs w:val="21"/>
                <w:highlight w:val="none"/>
                <w:lang w:val="en-US" w:eastAsia="zh-CN"/>
              </w:rPr>
              <w:t>或</w:t>
            </w:r>
            <w:r>
              <w:rPr>
                <w:rFonts w:ascii="宋体" w:eastAsia="宋体" w:hAnsi="宋体" w:cs="宋体" w:hint="eastAsia"/>
                <w:b w:val="0"/>
                <w:bCs w:val="0"/>
                <w:sz w:val="21"/>
                <w:szCs w:val="21"/>
                <w:highlight w:val="none"/>
              </w:rPr>
              <w:t>高压（10kV或以上）</w:t>
            </w:r>
            <w:r>
              <w:rPr>
                <w:rFonts w:ascii="宋体" w:eastAsia="宋体" w:hAnsi="宋体" w:cs="宋体" w:hint="eastAsia"/>
                <w:b w:val="0"/>
                <w:bCs w:val="0"/>
                <w:sz w:val="21"/>
                <w:szCs w:val="21"/>
                <w:highlight w:val="none"/>
                <w:lang w:val="en-US" w:eastAsia="zh-CN"/>
              </w:rPr>
              <w:t>设施</w:t>
            </w:r>
            <w:r>
              <w:rPr>
                <w:rFonts w:ascii="宋体" w:eastAsia="宋体" w:hAnsi="宋体" w:cs="宋体" w:hint="eastAsia"/>
                <w:b w:val="0"/>
                <w:bCs w:val="0"/>
                <w:sz w:val="21"/>
                <w:szCs w:val="21"/>
                <w:highlight w:val="none"/>
              </w:rPr>
              <w:t>维护项目</w:t>
            </w:r>
            <w:r>
              <w:rPr>
                <w:rFonts w:ascii="宋体" w:eastAsia="宋体" w:hAnsi="宋体" w:cs="宋体" w:hint="eastAsia"/>
                <w:b w:val="0"/>
                <w:bCs w:val="0"/>
                <w:sz w:val="21"/>
                <w:szCs w:val="21"/>
                <w:highlight w:val="none"/>
                <w:lang w:val="en-US" w:eastAsia="zh-CN"/>
              </w:rPr>
              <w:t>的</w:t>
            </w:r>
            <w:r>
              <w:rPr>
                <w:rFonts w:ascii="宋体" w:eastAsia="宋体" w:hAnsi="宋体" w:cs="宋体" w:hint="eastAsia"/>
                <w:b w:val="0"/>
                <w:bCs w:val="0"/>
                <w:sz w:val="21"/>
                <w:szCs w:val="21"/>
                <w:highlight w:val="none"/>
                <w:lang w:eastAsia="zh-CN"/>
              </w:rPr>
              <w:t>，</w:t>
            </w:r>
            <w:r>
              <w:rPr>
                <w:rFonts w:ascii="宋体" w:eastAsia="宋体" w:hAnsi="宋体" w:cs="宋体" w:hint="eastAsia"/>
                <w:b w:val="0"/>
                <w:bCs w:val="0"/>
                <w:sz w:val="21"/>
                <w:szCs w:val="21"/>
                <w:highlight w:val="none"/>
                <w:lang w:val="en-US" w:eastAsia="zh-CN"/>
              </w:rPr>
              <w:t>且项目</w:t>
            </w:r>
            <w:r>
              <w:rPr>
                <w:rFonts w:ascii="宋体" w:eastAsia="宋体" w:hAnsi="宋体" w:cs="宋体" w:hint="eastAsia"/>
                <w:b w:val="0"/>
                <w:bCs w:val="0"/>
                <w:sz w:val="21"/>
                <w:szCs w:val="21"/>
                <w:highlight w:val="none"/>
              </w:rPr>
              <w:t>验收合格或履约评价结果为“优”或“满意”或评价中最高等级（以评分作为评价结果的不予计算），</w:t>
            </w:r>
            <w:r>
              <w:rPr>
                <w:rFonts w:ascii="宋体" w:eastAsia="宋体" w:hAnsi="宋体" w:cs="宋体" w:hint="eastAsia"/>
                <w:b w:val="0"/>
                <w:bCs w:val="0"/>
                <w:sz w:val="21"/>
                <w:szCs w:val="21"/>
                <w:highlight w:val="none"/>
                <w:lang w:val="en-US" w:eastAsia="zh-CN"/>
              </w:rPr>
              <w:t>每提供1个得10分，最高得分</w:t>
            </w:r>
            <w:r>
              <w:rPr>
                <w:rFonts w:ascii="宋体" w:eastAsia="宋体" w:hAnsi="宋体" w:cs="宋体" w:hint="eastAsia"/>
                <w:b w:val="0"/>
                <w:bCs w:val="0"/>
                <w:sz w:val="21"/>
                <w:szCs w:val="21"/>
                <w:highlight w:val="none"/>
              </w:rPr>
              <w:t>得</w:t>
            </w:r>
            <w:r>
              <w:rPr>
                <w:rFonts w:ascii="宋体" w:eastAsia="宋体" w:hAnsi="宋体" w:cs="宋体" w:hint="eastAsia"/>
                <w:b w:val="0"/>
                <w:bCs w:val="0"/>
                <w:sz w:val="21"/>
                <w:szCs w:val="21"/>
                <w:highlight w:val="none"/>
                <w:lang w:val="en-US" w:eastAsia="zh-CN"/>
              </w:rPr>
              <w:t>5</w:t>
            </w:r>
            <w:r>
              <w:rPr>
                <w:rFonts w:ascii="宋体" w:eastAsia="宋体" w:hAnsi="宋体" w:cs="宋体" w:hint="eastAsia"/>
                <w:b w:val="0"/>
                <w:bCs w:val="0"/>
                <w:sz w:val="21"/>
                <w:szCs w:val="21"/>
                <w:highlight w:val="none"/>
              </w:rPr>
              <w:t>0分。</w:t>
            </w: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b w:val="0"/>
                <w:bCs w:val="0"/>
                <w:kern w:val="0"/>
                <w:sz w:val="21"/>
                <w:szCs w:val="21"/>
                <w:highlight w:val="none"/>
                <w:lang w:val="en-US" w:eastAsia="zh-CN"/>
              </w:rPr>
            </w:pPr>
            <w:r>
              <w:rPr>
                <w:rFonts w:ascii="宋体" w:eastAsia="宋体" w:hAnsi="宋体" w:cs="宋体" w:hint="eastAsia"/>
                <w:b w:val="0"/>
                <w:bCs w:val="0"/>
                <w:kern w:val="0"/>
                <w:sz w:val="21"/>
                <w:szCs w:val="21"/>
                <w:highlight w:val="none"/>
                <w:lang w:val="en-US" w:eastAsia="zh-CN"/>
              </w:rPr>
              <w:t>注：以上累计最高得100分。</w:t>
            </w:r>
          </w:p>
          <w:p>
            <w:pPr>
              <w:pStyle w:val="a"/>
              <w:rPr>
                <w:rFonts w:ascii="宋体" w:eastAsia="宋体" w:hAnsi="宋体" w:cs="宋体" w:hint="eastAsia"/>
                <w:sz w:val="21"/>
                <w:szCs w:val="21"/>
              </w:rPr>
            </w:pP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b w:val="0"/>
                <w:bCs w:val="0"/>
                <w:kern w:val="0"/>
                <w:sz w:val="21"/>
                <w:szCs w:val="21"/>
                <w:highlight w:val="none"/>
              </w:rPr>
            </w:pPr>
            <w:r>
              <w:rPr>
                <w:rFonts w:ascii="宋体" w:eastAsia="宋体" w:hAnsi="宋体" w:cs="宋体" w:hint="eastAsia"/>
                <w:b w:val="0"/>
                <w:bCs w:val="0"/>
                <w:kern w:val="0"/>
                <w:sz w:val="21"/>
                <w:szCs w:val="21"/>
                <w:highlight w:val="none"/>
              </w:rPr>
              <w:t>（二）评分依据：</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b w:val="0"/>
                <w:bCs w:val="0"/>
                <w:sz w:val="21"/>
                <w:szCs w:val="21"/>
                <w:highlight w:val="none"/>
              </w:rPr>
            </w:pPr>
            <w:r>
              <w:rPr>
                <w:rFonts w:ascii="宋体" w:eastAsia="宋体" w:hAnsi="宋体" w:cs="宋体" w:hint="eastAsia"/>
                <w:b w:val="0"/>
                <w:bCs w:val="0"/>
                <w:sz w:val="21"/>
                <w:szCs w:val="21"/>
                <w:highlight w:val="none"/>
              </w:rPr>
              <w:t xml:space="preserve">1.提供以上项目负责人通过投标单位缴纳的载有社保部门或税务部门公章的近三个月内任意一个月的个人社保证明，如供应商为新成立单位且成立时间不足一个月的，可提供加盖公章的情况说明或者证明材料亦视为符合。如为退休返聘人员则提供劳动合同或返聘协议； </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b w:val="0"/>
                <w:bCs w:val="0"/>
                <w:sz w:val="21"/>
                <w:szCs w:val="21"/>
                <w:highlight w:val="none"/>
              </w:rPr>
            </w:pPr>
            <w:r>
              <w:rPr>
                <w:rFonts w:ascii="宋体" w:eastAsia="宋体" w:hAnsi="宋体" w:cs="宋体" w:hint="eastAsia"/>
                <w:b w:val="0"/>
                <w:bCs w:val="0"/>
                <w:sz w:val="21"/>
                <w:szCs w:val="21"/>
                <w:highlight w:val="none"/>
              </w:rPr>
              <w:t>2.上述评分内容第（1）项要求提供职称证书（如职称证书中未显示职称专业，还需提供能证明职称专业的资料，如评审资料等）或资质证书作为得分依据；</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b w:val="0"/>
                <w:bCs w:val="0"/>
                <w:sz w:val="21"/>
                <w:szCs w:val="21"/>
                <w:highlight w:val="none"/>
              </w:rPr>
            </w:pPr>
            <w:r>
              <w:rPr>
                <w:rFonts w:ascii="宋体" w:eastAsia="宋体" w:hAnsi="宋体" w:cs="宋体" w:hint="eastAsia"/>
                <w:b w:val="0"/>
                <w:bCs w:val="0"/>
                <w:sz w:val="21"/>
                <w:szCs w:val="21"/>
                <w:highlight w:val="none"/>
              </w:rPr>
              <w:t>3.上述评分内容第（2）项要求提供项目合同关键</w:t>
            </w:r>
            <w:r>
              <w:rPr>
                <w:rFonts w:ascii="宋体" w:eastAsia="宋体" w:hAnsi="宋体" w:cs="宋体" w:hint="eastAsia"/>
                <w:b w:val="0"/>
                <w:bCs w:val="0"/>
                <w:sz w:val="21"/>
                <w:szCs w:val="21"/>
                <w:highlight w:val="none"/>
                <w:lang w:val="en-US" w:eastAsia="zh-CN"/>
              </w:rPr>
              <w:t>页</w:t>
            </w:r>
            <w:r>
              <w:rPr>
                <w:rFonts w:ascii="宋体" w:eastAsia="宋体" w:hAnsi="宋体" w:cs="宋体" w:hint="eastAsia"/>
                <w:b w:val="0"/>
                <w:bCs w:val="0"/>
                <w:sz w:val="21"/>
                <w:szCs w:val="21"/>
                <w:highlight w:val="none"/>
              </w:rPr>
              <w:t>信息和履约</w:t>
            </w:r>
            <w:r>
              <w:rPr>
                <w:rFonts w:ascii="宋体" w:eastAsia="宋体" w:hAnsi="宋体" w:cs="宋体" w:hint="eastAsia"/>
                <w:b w:val="0"/>
                <w:bCs w:val="0"/>
                <w:sz w:val="21"/>
                <w:szCs w:val="21"/>
                <w:highlight w:val="none"/>
                <w:lang w:eastAsia="zh-CN"/>
              </w:rPr>
              <w:t>（</w:t>
            </w:r>
            <w:r>
              <w:rPr>
                <w:rFonts w:ascii="宋体" w:eastAsia="宋体" w:hAnsi="宋体" w:cs="宋体" w:hint="eastAsia"/>
                <w:b w:val="0"/>
                <w:bCs w:val="0"/>
                <w:sz w:val="21"/>
                <w:szCs w:val="21"/>
                <w:highlight w:val="none"/>
                <w:lang w:val="en-US" w:eastAsia="zh-CN"/>
              </w:rPr>
              <w:t>验收</w:t>
            </w:r>
            <w:r>
              <w:rPr>
                <w:rFonts w:ascii="宋体" w:eastAsia="宋体" w:hAnsi="宋体" w:cs="宋体" w:hint="eastAsia"/>
                <w:b w:val="0"/>
                <w:bCs w:val="0"/>
                <w:sz w:val="21"/>
                <w:szCs w:val="21"/>
                <w:highlight w:val="none"/>
                <w:lang w:eastAsia="zh-CN"/>
              </w:rPr>
              <w:t>）</w:t>
            </w:r>
            <w:r>
              <w:rPr>
                <w:rFonts w:ascii="宋体" w:eastAsia="宋体" w:hAnsi="宋体" w:cs="宋体" w:hint="eastAsia"/>
                <w:b w:val="0"/>
                <w:bCs w:val="0"/>
                <w:sz w:val="21"/>
                <w:szCs w:val="21"/>
                <w:highlight w:val="none"/>
                <w:lang w:val="en-US" w:eastAsia="zh-CN"/>
              </w:rPr>
              <w:t>证明</w:t>
            </w:r>
            <w:r>
              <w:rPr>
                <w:rFonts w:ascii="宋体" w:eastAsia="宋体" w:hAnsi="宋体" w:cs="宋体" w:hint="eastAsia"/>
                <w:b w:val="0"/>
                <w:bCs w:val="0"/>
                <w:sz w:val="21"/>
                <w:szCs w:val="21"/>
                <w:highlight w:val="none"/>
              </w:rPr>
              <w:t>文件作为得分依据，通过合同关键信息和履约</w:t>
            </w:r>
            <w:r>
              <w:rPr>
                <w:rFonts w:ascii="宋体" w:eastAsia="宋体" w:hAnsi="宋体" w:cs="宋体" w:hint="eastAsia"/>
                <w:b w:val="0"/>
                <w:bCs w:val="0"/>
                <w:sz w:val="21"/>
                <w:szCs w:val="21"/>
                <w:highlight w:val="none"/>
                <w:lang w:eastAsia="zh-CN"/>
              </w:rPr>
              <w:t>（</w:t>
            </w:r>
            <w:r>
              <w:rPr>
                <w:rFonts w:ascii="宋体" w:eastAsia="宋体" w:hAnsi="宋体" w:cs="宋体" w:hint="eastAsia"/>
                <w:b w:val="0"/>
                <w:bCs w:val="0"/>
                <w:sz w:val="21"/>
                <w:szCs w:val="21"/>
                <w:highlight w:val="none"/>
                <w:lang w:val="en-US" w:eastAsia="zh-CN"/>
              </w:rPr>
              <w:t>验收</w:t>
            </w:r>
            <w:r>
              <w:rPr>
                <w:rFonts w:ascii="宋体" w:eastAsia="宋体" w:hAnsi="宋体" w:cs="宋体" w:hint="eastAsia"/>
                <w:b w:val="0"/>
                <w:bCs w:val="0"/>
                <w:sz w:val="21"/>
                <w:szCs w:val="21"/>
                <w:highlight w:val="none"/>
                <w:lang w:eastAsia="zh-CN"/>
              </w:rPr>
              <w:t>）</w:t>
            </w:r>
            <w:r>
              <w:rPr>
                <w:rFonts w:ascii="宋体" w:eastAsia="宋体" w:hAnsi="宋体" w:cs="宋体" w:hint="eastAsia"/>
                <w:b w:val="0"/>
                <w:bCs w:val="0"/>
                <w:sz w:val="21"/>
                <w:szCs w:val="21"/>
                <w:highlight w:val="none"/>
                <w:lang w:val="en-US" w:eastAsia="zh-CN"/>
              </w:rPr>
              <w:t>证明</w:t>
            </w:r>
            <w:r>
              <w:rPr>
                <w:rFonts w:ascii="宋体" w:eastAsia="宋体" w:hAnsi="宋体" w:cs="宋体" w:hint="eastAsia"/>
                <w:b w:val="0"/>
                <w:bCs w:val="0"/>
                <w:sz w:val="21"/>
                <w:szCs w:val="21"/>
                <w:highlight w:val="none"/>
              </w:rPr>
              <w:t>文件无法判断是否得分的，还需同时提供合同甲方出具的证明文件；</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b w:val="0"/>
                <w:bCs w:val="0"/>
                <w:sz w:val="21"/>
                <w:szCs w:val="21"/>
                <w:highlight w:val="none"/>
              </w:rPr>
              <w:t>4.</w:t>
            </w:r>
            <w:r>
              <w:rPr>
                <w:rFonts w:ascii="宋体" w:eastAsia="宋体" w:hAnsi="宋体" w:cs="宋体" w:hint="eastAsia"/>
                <w:b w:val="0"/>
                <w:bCs w:val="0"/>
                <w:kern w:val="0"/>
                <w:sz w:val="21"/>
                <w:szCs w:val="21"/>
                <w:highlight w:val="none"/>
              </w:rPr>
              <w:t>提供</w:t>
            </w:r>
            <w:r>
              <w:rPr>
                <w:rFonts w:ascii="宋体" w:eastAsia="宋体" w:hAnsi="宋体" w:cs="宋体" w:hint="eastAsia"/>
                <w:b w:val="0"/>
                <w:bCs w:val="0"/>
                <w:sz w:val="21"/>
                <w:szCs w:val="21"/>
                <w:highlight w:val="none"/>
              </w:rPr>
              <w:t>以上证明文件</w:t>
            </w:r>
            <w:r>
              <w:rPr>
                <w:rFonts w:ascii="宋体" w:eastAsia="宋体" w:hAnsi="宋体" w:cs="宋体" w:hint="eastAsia"/>
                <w:b w:val="0"/>
                <w:bCs w:val="0"/>
                <w:kern w:val="0"/>
                <w:sz w:val="21"/>
                <w:szCs w:val="21"/>
                <w:highlight w:val="none"/>
              </w:rPr>
              <w:t>扫描件</w:t>
            </w:r>
            <w:r>
              <w:rPr>
                <w:rFonts w:ascii="宋体" w:eastAsia="宋体" w:hAnsi="宋体" w:cs="宋体" w:hint="eastAsia"/>
                <w:kern w:val="0"/>
                <w:sz w:val="21"/>
                <w:szCs w:val="21"/>
              </w:rPr>
              <w:t>，</w:t>
            </w:r>
            <w:r>
              <w:rPr>
                <w:rFonts w:ascii="宋体" w:eastAsia="宋体" w:hAnsi="宋体" w:cs="宋体" w:hint="eastAsia"/>
                <w:sz w:val="21"/>
                <w:szCs w:val="21"/>
              </w:rPr>
              <w:t>如涉及网站截图或照片等证明材料,需提供清晰图片,</w:t>
            </w:r>
            <w:r>
              <w:rPr>
                <w:rFonts w:ascii="宋体" w:eastAsia="宋体" w:hAnsi="宋体" w:cs="宋体" w:hint="eastAsia"/>
                <w:kern w:val="0"/>
                <w:sz w:val="21"/>
                <w:szCs w:val="21"/>
              </w:rPr>
              <w:t>原件备查</w:t>
            </w:r>
            <w:r>
              <w:rPr>
                <w:rFonts w:ascii="宋体" w:eastAsia="宋体" w:hAnsi="宋体" w:cs="宋体" w:hint="eastAsia"/>
                <w:sz w:val="21"/>
                <w:szCs w:val="21"/>
              </w:rPr>
              <w:t>。未按要求提供有效证明材料或提供不清晰导致评委无法识别的不计得分。</w:t>
            </w:r>
          </w:p>
        </w:tc>
      </w:tr>
      <w:tr>
        <w:tblPrEx>
          <w:tblW w:w="9639" w:type="dxa"/>
          <w:jc w:val="center"/>
          <w:tblLayout w:type="fixed"/>
          <w:tblCellMar>
            <w:top w:w="20" w:type="dxa"/>
            <w:left w:w="108" w:type="dxa"/>
            <w:bottom w:w="20" w:type="dxa"/>
            <w:right w:w="108" w:type="dxa"/>
          </w:tblCellMar>
        </w:tblPrEx>
        <w:trPr>
          <w:jc w:val="center"/>
        </w:trPr>
        <w:tc>
          <w:tcPr>
            <w:tcW w:w="680" w:type="dxa"/>
            <w:vMerge/>
            <w:tcBorders>
              <w:left w:val="single" w:sz="8" w:space="0" w:color="000000"/>
              <w:right w:val="single" w:sz="8" w:space="0" w:color="000000"/>
            </w:tcBorders>
            <w:vAlign w:val="center"/>
          </w:tcPr>
          <w:p>
            <w:pPr>
              <w:keepNext w:val="0"/>
              <w:keepLines w:val="0"/>
              <w:pageBreakBefore w:val="0"/>
              <w:kinsoku/>
              <w:wordWrap/>
              <w:overflowPunct/>
              <w:topLinePunct w:val="0"/>
              <w:bidi w:val="0"/>
              <w:spacing w:line="360" w:lineRule="auto"/>
              <w:textAlignment w:val="auto"/>
              <w:rPr>
                <w:rFonts w:ascii="宋体" w:eastAsia="宋体" w:hAnsi="宋体" w:cs="宋体" w:hint="eastAsia"/>
                <w:b/>
                <w:bCs/>
                <w:color w:val="0000FF"/>
                <w:sz w:val="21"/>
                <w:szCs w:val="21"/>
              </w:rPr>
            </w:pPr>
          </w:p>
        </w:tc>
        <w:tc>
          <w:tcPr>
            <w:tcW w:w="680"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lang w:eastAsia="zh-CN"/>
              </w:rPr>
            </w:pPr>
            <w:r>
              <w:rPr>
                <w:rFonts w:ascii="宋体" w:eastAsia="宋体" w:hAnsi="宋体" w:cs="宋体" w:hint="eastAsia"/>
                <w:sz w:val="21"/>
                <w:szCs w:val="21"/>
                <w:lang w:val="en-US" w:eastAsia="zh-CN"/>
              </w:rPr>
              <w:t>7</w:t>
            </w:r>
          </w:p>
        </w:tc>
        <w:tc>
          <w:tcPr>
            <w:tcW w:w="2835"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rPr>
            </w:pPr>
            <w:r>
              <w:rPr>
                <w:rFonts w:ascii="宋体" w:eastAsia="宋体" w:hAnsi="宋体" w:cs="宋体" w:hint="eastAsia"/>
                <w:sz w:val="21"/>
                <w:szCs w:val="21"/>
              </w:rPr>
              <w:t>拟安排的项目主要团队成员（主要技术人员）情况（项目负责人除外）</w:t>
            </w:r>
          </w:p>
        </w:tc>
        <w:tc>
          <w:tcPr>
            <w:tcW w:w="681"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15</w:t>
            </w:r>
          </w:p>
        </w:tc>
        <w:tc>
          <w:tcPr>
            <w:tcW w:w="4763"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（一）评分内容：</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拟安排的项目主要团队成员（项目负责人除外）需为投标人正式聘任员工，否则本项不得分。在此基础上，按以下标准评分：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（1）安全主管1名：具有</w:t>
            </w:r>
            <w:r>
              <w:rPr>
                <w:rFonts w:ascii="宋体" w:eastAsia="宋体" w:hAnsi="宋体" w:cs="宋体" w:hint="eastAsia"/>
                <w:sz w:val="21"/>
                <w:szCs w:val="21"/>
                <w:lang w:eastAsia="zh-CN"/>
              </w:rPr>
              <w:t>安全员</w:t>
            </w:r>
            <w:r>
              <w:rPr>
                <w:rFonts w:ascii="宋体" w:eastAsia="宋体" w:hAnsi="宋体" w:cs="宋体" w:hint="eastAsia"/>
                <w:sz w:val="21"/>
                <w:szCs w:val="21"/>
                <w:lang w:val="en-US" w:eastAsia="zh-CN"/>
              </w:rPr>
              <w:t>A证</w:t>
            </w:r>
            <w:r>
              <w:rPr>
                <w:rFonts w:ascii="宋体" w:eastAsia="宋体" w:hAnsi="宋体" w:cs="宋体" w:hint="eastAsia"/>
                <w:sz w:val="21"/>
                <w:szCs w:val="21"/>
              </w:rPr>
              <w:t>的，得</w:t>
            </w:r>
            <w:r>
              <w:rPr>
                <w:rFonts w:ascii="宋体" w:eastAsia="宋体" w:hAnsi="宋体" w:cs="宋体" w:hint="eastAsia"/>
                <w:sz w:val="21"/>
                <w:szCs w:val="21"/>
                <w:lang w:val="en-US" w:eastAsia="zh-CN"/>
              </w:rPr>
              <w:t>5</w:t>
            </w:r>
            <w:r>
              <w:rPr>
                <w:rFonts w:ascii="宋体" w:eastAsia="宋体" w:hAnsi="宋体" w:cs="宋体" w:hint="eastAsia"/>
                <w:sz w:val="21"/>
                <w:szCs w:val="21"/>
              </w:rPr>
              <w:t>分；</w:t>
            </w:r>
          </w:p>
          <w:p>
            <w:pPr>
              <w:pStyle w:val="a"/>
              <w:spacing w:before="0" w:after="0" w:line="360" w:lineRule="auto"/>
              <w:rPr>
                <w:rFonts w:ascii="宋体" w:eastAsia="宋体" w:hAnsi="宋体" w:cs="宋体" w:hint="eastAsia"/>
                <w:sz w:val="21"/>
                <w:szCs w:val="21"/>
                <w:lang w:val="en-US" w:eastAsia="zh-CN"/>
              </w:rPr>
            </w:pPr>
            <w:r>
              <w:rPr>
                <w:rFonts w:ascii="宋体" w:eastAsia="宋体" w:hAnsi="宋体" w:cs="宋体" w:hint="eastAsia"/>
                <w:sz w:val="21"/>
                <w:szCs w:val="21"/>
              </w:rPr>
              <w:t>（2）</w:t>
            </w:r>
            <w:r>
              <w:rPr>
                <w:rFonts w:ascii="宋体" w:eastAsia="宋体" w:hAnsi="宋体" w:cs="宋体" w:hint="eastAsia"/>
                <w:sz w:val="21"/>
                <w:szCs w:val="21"/>
                <w:lang w:val="en-US" w:eastAsia="zh-CN"/>
              </w:rPr>
              <w:t>资料员1名：具有</w:t>
            </w:r>
            <w:r>
              <w:rPr>
                <w:rFonts w:ascii="宋体" w:eastAsia="宋体" w:hAnsi="宋体" w:cs="宋体" w:hint="eastAsia"/>
                <w:sz w:val="21"/>
                <w:szCs w:val="21"/>
              </w:rPr>
              <w:t>电气、电力或机电</w:t>
            </w:r>
            <w:r>
              <w:rPr>
                <w:rFonts w:ascii="宋体" w:eastAsia="宋体" w:hAnsi="宋体" w:cs="宋体" w:hint="eastAsia"/>
                <w:sz w:val="21"/>
                <w:szCs w:val="21"/>
                <w:lang w:eastAsia="zh-CN"/>
              </w:rPr>
              <w:t>类</w:t>
            </w:r>
            <w:r>
              <w:rPr>
                <w:rFonts w:ascii="宋体" w:eastAsia="宋体" w:hAnsi="宋体" w:cs="宋体" w:hint="eastAsia"/>
                <w:sz w:val="21"/>
                <w:szCs w:val="21"/>
                <w:lang w:val="en-US" w:eastAsia="zh-CN"/>
              </w:rPr>
              <w:t>专业大专及以上学历，得5分；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lang w:val="en-US" w:eastAsia="zh-CN"/>
              </w:rPr>
            </w:pPr>
            <w:r>
              <w:rPr>
                <w:rFonts w:ascii="宋体" w:eastAsia="宋体" w:hAnsi="宋体" w:cs="宋体" w:hint="eastAsia"/>
                <w:sz w:val="21"/>
                <w:szCs w:val="21"/>
              </w:rPr>
              <w:t>（3）</w:t>
            </w:r>
            <w:r>
              <w:rPr>
                <w:rFonts w:ascii="宋体" w:eastAsia="宋体" w:hAnsi="宋体" w:cs="宋体" w:hint="eastAsia"/>
                <w:sz w:val="21"/>
                <w:szCs w:val="21"/>
                <w:lang w:val="en-US" w:eastAsia="zh-CN"/>
              </w:rPr>
              <w:t>项目需安排一线电工：</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① 工人要求年龄50岁以下（1974年1月1日后出生），否则本项不得分；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lang w:val="en-US" w:eastAsia="zh-CN"/>
              </w:rPr>
              <w:t xml:space="preserve">② </w:t>
            </w:r>
            <w:r>
              <w:rPr>
                <w:rFonts w:ascii="宋体" w:eastAsia="宋体" w:hAnsi="宋体" w:cs="宋体" w:hint="eastAsia"/>
                <w:b w:val="0"/>
                <w:bCs w:val="0"/>
                <w:sz w:val="21"/>
                <w:szCs w:val="21"/>
                <w:highlight w:val="none"/>
                <w:lang w:val="en-US" w:eastAsia="zh-CN"/>
              </w:rPr>
              <w:t>具有电工10名（或以上），均要求具有特种作业操作证且准操类别为高压电工作业或电力电缆作业的，得60分；电工同时具有二级（技师）或以上电工职业资格证书或职业技能等级证书的，每提供1人另加2分，本项最高得分70分</w:t>
            </w:r>
            <w:r>
              <w:rPr>
                <w:rFonts w:ascii="宋体" w:eastAsia="宋体" w:hAnsi="宋体" w:cs="宋体" w:hint="eastAsia"/>
                <w:sz w:val="21"/>
                <w:szCs w:val="21"/>
              </w:rPr>
              <w:t>；</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w:t>
            </w:r>
            <w:r>
              <w:rPr>
                <w:rFonts w:ascii="宋体" w:eastAsia="宋体" w:hAnsi="宋体" w:cs="宋体" w:hint="eastAsia"/>
                <w:sz w:val="21"/>
                <w:szCs w:val="21"/>
                <w:lang w:val="en-US" w:eastAsia="zh-CN"/>
              </w:rPr>
              <w:t>4</w:t>
            </w:r>
            <w:r>
              <w:rPr>
                <w:rFonts w:ascii="宋体" w:eastAsia="宋体" w:hAnsi="宋体" w:cs="宋体" w:hint="eastAsia"/>
                <w:sz w:val="21"/>
                <w:szCs w:val="21"/>
              </w:rPr>
              <w:t>）每</w:t>
            </w:r>
            <w:r>
              <w:rPr>
                <w:rFonts w:ascii="宋体" w:eastAsia="宋体" w:hAnsi="宋体" w:cs="宋体" w:hint="eastAsia"/>
                <w:sz w:val="21"/>
                <w:szCs w:val="21"/>
                <w:lang w:val="en-US" w:eastAsia="zh-CN"/>
              </w:rPr>
              <w:t>提供</w:t>
            </w:r>
            <w:r>
              <w:rPr>
                <w:rFonts w:ascii="宋体" w:eastAsia="宋体" w:hAnsi="宋体" w:cs="宋体" w:hint="eastAsia"/>
                <w:sz w:val="21"/>
                <w:szCs w:val="21"/>
              </w:rPr>
              <w:t>一人具有特种作业操作证且准操类别为</w:t>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HYPERLINK "https://baike.baidu.com/item/%E7%BB%A7%E7%94%B5%E4%BF%9D%E6%8A%A4/1518316" \t "https://baike.baidu.com/item/%E7%89%B9%E7%A7%8D%E4%BD%9C%E4%B8%9A%E6%93%8D%E4%BD%9C%E8%AF%81/_blank" </w:instrText>
            </w:r>
            <w:r>
              <w:rPr>
                <w:rFonts w:ascii="宋体" w:eastAsia="宋体" w:hAnsi="宋体" w:cs="宋体" w:hint="eastAsia"/>
                <w:sz w:val="21"/>
                <w:szCs w:val="21"/>
              </w:rPr>
              <w:fldChar w:fldCharType="separate"/>
            </w:r>
            <w:r>
              <w:rPr>
                <w:rFonts w:ascii="宋体" w:eastAsia="宋体" w:hAnsi="宋体" w:cs="宋体" w:hint="eastAsia"/>
                <w:sz w:val="21"/>
                <w:szCs w:val="21"/>
              </w:rPr>
              <w:t>继电保护</w:t>
            </w:r>
            <w:r>
              <w:rPr>
                <w:rFonts w:ascii="宋体" w:eastAsia="宋体" w:hAnsi="宋体" w:cs="宋体" w:hint="eastAsia"/>
                <w:sz w:val="21"/>
                <w:szCs w:val="21"/>
              </w:rPr>
              <w:fldChar w:fldCharType="end"/>
            </w:r>
            <w:r>
              <w:rPr>
                <w:rFonts w:ascii="宋体" w:eastAsia="宋体" w:hAnsi="宋体" w:cs="宋体" w:hint="eastAsia"/>
                <w:sz w:val="21"/>
                <w:szCs w:val="21"/>
              </w:rPr>
              <w:t>作业得</w:t>
            </w:r>
            <w:r>
              <w:rPr>
                <w:rFonts w:ascii="宋体" w:eastAsia="宋体" w:hAnsi="宋体" w:cs="宋体" w:hint="eastAsia"/>
                <w:sz w:val="21"/>
                <w:szCs w:val="21"/>
                <w:lang w:val="en-US" w:eastAsia="zh-CN"/>
              </w:rPr>
              <w:t>2.5</w:t>
            </w:r>
            <w:r>
              <w:rPr>
                <w:rFonts w:ascii="宋体" w:eastAsia="宋体" w:hAnsi="宋体" w:cs="宋体" w:hint="eastAsia"/>
                <w:sz w:val="21"/>
                <w:szCs w:val="21"/>
              </w:rPr>
              <w:t>分，此项最高得</w:t>
            </w:r>
            <w:r>
              <w:rPr>
                <w:rFonts w:ascii="宋体" w:eastAsia="宋体" w:hAnsi="宋体" w:cs="宋体" w:hint="eastAsia"/>
                <w:sz w:val="21"/>
                <w:szCs w:val="21"/>
                <w:lang w:val="en-US" w:eastAsia="zh-CN"/>
              </w:rPr>
              <w:t>5</w:t>
            </w:r>
            <w:r>
              <w:rPr>
                <w:rFonts w:ascii="宋体" w:eastAsia="宋体" w:hAnsi="宋体" w:cs="宋体" w:hint="eastAsia"/>
                <w:sz w:val="21"/>
                <w:szCs w:val="21"/>
              </w:rPr>
              <w:t>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w:t>
            </w:r>
            <w:r>
              <w:rPr>
                <w:rFonts w:ascii="宋体" w:eastAsia="宋体" w:hAnsi="宋体" w:cs="宋体" w:hint="eastAsia"/>
                <w:sz w:val="21"/>
                <w:szCs w:val="21"/>
                <w:lang w:val="en-US" w:eastAsia="zh-CN"/>
              </w:rPr>
              <w:t>5</w:t>
            </w:r>
            <w:r>
              <w:rPr>
                <w:rFonts w:ascii="宋体" w:eastAsia="宋体" w:hAnsi="宋体" w:cs="宋体" w:hint="eastAsia"/>
                <w:sz w:val="21"/>
                <w:szCs w:val="21"/>
              </w:rPr>
              <w:t>）每</w:t>
            </w:r>
            <w:r>
              <w:rPr>
                <w:rFonts w:ascii="宋体" w:eastAsia="宋体" w:hAnsi="宋体" w:cs="宋体" w:hint="eastAsia"/>
                <w:sz w:val="21"/>
                <w:szCs w:val="21"/>
                <w:lang w:val="en-US" w:eastAsia="zh-CN"/>
              </w:rPr>
              <w:t>提供</w:t>
            </w:r>
            <w:r>
              <w:rPr>
                <w:rFonts w:ascii="宋体" w:eastAsia="宋体" w:hAnsi="宋体" w:cs="宋体" w:hint="eastAsia"/>
                <w:sz w:val="21"/>
                <w:szCs w:val="21"/>
              </w:rPr>
              <w:t>一人具有特种作业操作证且准操类别为电气试验作业得</w:t>
            </w:r>
            <w:r>
              <w:rPr>
                <w:rFonts w:ascii="宋体" w:eastAsia="宋体" w:hAnsi="宋体" w:cs="宋体" w:hint="eastAsia"/>
                <w:sz w:val="21"/>
                <w:szCs w:val="21"/>
                <w:lang w:val="en-US" w:eastAsia="zh-CN"/>
              </w:rPr>
              <w:t>2.5</w:t>
            </w:r>
            <w:r>
              <w:rPr>
                <w:rFonts w:ascii="宋体" w:eastAsia="宋体" w:hAnsi="宋体" w:cs="宋体" w:hint="eastAsia"/>
                <w:sz w:val="21"/>
                <w:szCs w:val="21"/>
              </w:rPr>
              <w:t>分，此项最高得</w:t>
            </w:r>
            <w:r>
              <w:rPr>
                <w:rFonts w:ascii="宋体" w:eastAsia="宋体" w:hAnsi="宋体" w:cs="宋体" w:hint="eastAsia"/>
                <w:sz w:val="21"/>
                <w:szCs w:val="21"/>
                <w:lang w:val="en-US" w:eastAsia="zh-CN"/>
              </w:rPr>
              <w:t>5</w:t>
            </w:r>
            <w:r>
              <w:rPr>
                <w:rFonts w:ascii="宋体" w:eastAsia="宋体" w:hAnsi="宋体" w:cs="宋体" w:hint="eastAsia"/>
                <w:sz w:val="21"/>
                <w:szCs w:val="21"/>
              </w:rPr>
              <w:t>分；</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lang w:eastAsia="zh-CN"/>
              </w:rPr>
            </w:pPr>
            <w:r>
              <w:rPr>
                <w:rFonts w:ascii="宋体" w:eastAsia="宋体" w:hAnsi="宋体" w:cs="宋体" w:hint="eastAsia"/>
                <w:sz w:val="21"/>
                <w:szCs w:val="21"/>
              </w:rPr>
              <w:t>（</w:t>
            </w:r>
            <w:r>
              <w:rPr>
                <w:rFonts w:ascii="宋体" w:eastAsia="宋体" w:hAnsi="宋体" w:cs="宋体" w:hint="eastAsia"/>
                <w:sz w:val="21"/>
                <w:szCs w:val="21"/>
                <w:lang w:val="en-US" w:eastAsia="zh-CN"/>
              </w:rPr>
              <w:t>6</w:t>
            </w:r>
            <w:r>
              <w:rPr>
                <w:rFonts w:ascii="宋体" w:eastAsia="宋体" w:hAnsi="宋体" w:cs="宋体" w:hint="eastAsia"/>
                <w:sz w:val="21"/>
                <w:szCs w:val="21"/>
              </w:rPr>
              <w:t>）具有</w:t>
            </w:r>
            <w:r>
              <w:rPr>
                <w:rFonts w:ascii="宋体" w:eastAsia="宋体" w:hAnsi="宋体" w:cs="宋体" w:hint="eastAsia"/>
                <w:sz w:val="21"/>
                <w:szCs w:val="21"/>
                <w:lang w:val="en-US" w:eastAsia="zh-CN"/>
              </w:rPr>
              <w:t>2名（或以上）</w:t>
            </w:r>
            <w:r>
              <w:rPr>
                <w:rFonts w:ascii="宋体" w:eastAsia="宋体" w:hAnsi="宋体" w:cs="宋体" w:hint="eastAsia"/>
                <w:sz w:val="21"/>
                <w:szCs w:val="21"/>
              </w:rPr>
              <w:t>安全员</w:t>
            </w: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均</w:t>
            </w:r>
            <w:r>
              <w:rPr>
                <w:rFonts w:ascii="宋体" w:eastAsia="宋体" w:hAnsi="宋体" w:cs="宋体" w:hint="eastAsia"/>
                <w:sz w:val="21"/>
                <w:szCs w:val="21"/>
                <w:lang w:eastAsia="zh-CN"/>
              </w:rPr>
              <w:t>要求具有安全员</w:t>
            </w:r>
            <w:r>
              <w:rPr>
                <w:rFonts w:ascii="宋体" w:eastAsia="宋体" w:hAnsi="宋体" w:cs="宋体" w:hint="eastAsia"/>
                <w:sz w:val="21"/>
                <w:szCs w:val="21"/>
                <w:lang w:val="en-US" w:eastAsia="zh-CN"/>
              </w:rPr>
              <w:t>C证</w:t>
            </w:r>
            <w:r>
              <w:rPr>
                <w:rFonts w:ascii="宋体" w:eastAsia="宋体" w:hAnsi="宋体" w:cs="宋体" w:hint="eastAsia"/>
                <w:sz w:val="21"/>
                <w:szCs w:val="21"/>
              </w:rPr>
              <w:t>得</w:t>
            </w:r>
            <w:r>
              <w:rPr>
                <w:rFonts w:ascii="宋体" w:eastAsia="宋体" w:hAnsi="宋体" w:cs="宋体" w:hint="eastAsia"/>
                <w:sz w:val="21"/>
                <w:szCs w:val="21"/>
                <w:lang w:val="en-US" w:eastAsia="zh-CN"/>
              </w:rPr>
              <w:t>5</w:t>
            </w:r>
            <w:r>
              <w:rPr>
                <w:rFonts w:ascii="宋体" w:eastAsia="宋体" w:hAnsi="宋体" w:cs="宋体" w:hint="eastAsia"/>
                <w:sz w:val="21"/>
                <w:szCs w:val="21"/>
              </w:rPr>
              <w:t>分，本项最高得</w:t>
            </w:r>
            <w:r>
              <w:rPr>
                <w:rFonts w:ascii="宋体" w:eastAsia="宋体" w:hAnsi="宋体" w:cs="宋体" w:hint="eastAsia"/>
                <w:sz w:val="21"/>
                <w:szCs w:val="21"/>
                <w:lang w:val="en-US" w:eastAsia="zh-CN"/>
              </w:rPr>
              <w:t>5</w:t>
            </w:r>
            <w:r>
              <w:rPr>
                <w:rFonts w:ascii="宋体" w:eastAsia="宋体" w:hAnsi="宋体" w:cs="宋体" w:hint="eastAsia"/>
                <w:sz w:val="21"/>
                <w:szCs w:val="21"/>
              </w:rPr>
              <w:t>分</w:t>
            </w:r>
            <w:r>
              <w:rPr>
                <w:rFonts w:ascii="宋体" w:eastAsia="宋体" w:hAnsi="宋体" w:cs="宋体" w:hint="eastAsia"/>
                <w:sz w:val="21"/>
                <w:szCs w:val="21"/>
                <w:lang w:eastAsia="zh-CN"/>
              </w:rPr>
              <w:t>；</w:t>
            </w:r>
          </w:p>
          <w:p>
            <w:pPr>
              <w:pStyle w:val="a"/>
              <w:keepNext w:val="0"/>
              <w:keepLines w:val="0"/>
              <w:pageBreakBefore w:val="0"/>
              <w:kinsoku/>
              <w:wordWrap/>
              <w:overflowPunct/>
              <w:topLinePunct w:val="0"/>
              <w:bidi w:val="0"/>
              <w:spacing w:before="0" w:after="0" w:line="360" w:lineRule="auto"/>
              <w:jc w:val="left"/>
              <w:textAlignment w:val="auto"/>
              <w:rPr>
                <w:rFonts w:ascii="宋体" w:eastAsia="宋体" w:hAnsi="宋体" w:cs="宋体" w:hint="eastAsia"/>
                <w:sz w:val="21"/>
                <w:szCs w:val="21"/>
                <w:lang w:val="en-US" w:eastAsia="zh-CN"/>
              </w:rPr>
            </w:pPr>
            <w:r>
              <w:rPr>
                <w:rFonts w:ascii="宋体" w:eastAsia="宋体" w:hAnsi="宋体" w:cs="宋体" w:hint="eastAsia"/>
                <w:sz w:val="21"/>
                <w:szCs w:val="21"/>
              </w:rPr>
              <w:t>（</w:t>
            </w:r>
            <w:r>
              <w:rPr>
                <w:rFonts w:ascii="宋体" w:eastAsia="宋体" w:hAnsi="宋体" w:cs="宋体" w:hint="eastAsia"/>
                <w:sz w:val="21"/>
                <w:szCs w:val="21"/>
                <w:lang w:val="en-US" w:eastAsia="zh-CN"/>
              </w:rPr>
              <w:t>7</w:t>
            </w:r>
            <w:r>
              <w:rPr>
                <w:rFonts w:ascii="宋体" w:eastAsia="宋体" w:hAnsi="宋体" w:cs="宋体" w:hint="eastAsia"/>
                <w:sz w:val="21"/>
                <w:szCs w:val="21"/>
              </w:rPr>
              <w:t>）每</w:t>
            </w:r>
            <w:r>
              <w:rPr>
                <w:rFonts w:ascii="宋体" w:eastAsia="宋体" w:hAnsi="宋体" w:cs="宋体" w:hint="eastAsia"/>
                <w:sz w:val="21"/>
                <w:szCs w:val="21"/>
                <w:lang w:val="en-US" w:eastAsia="zh-CN"/>
              </w:rPr>
              <w:t>提供一人具有供电局工作票办理资质得5分，</w:t>
            </w:r>
            <w:r>
              <w:rPr>
                <w:rFonts w:ascii="宋体" w:eastAsia="宋体" w:hAnsi="宋体" w:cs="宋体" w:hint="eastAsia"/>
                <w:sz w:val="21"/>
                <w:szCs w:val="21"/>
              </w:rPr>
              <w:t>本项最高得</w:t>
            </w:r>
            <w:r>
              <w:rPr>
                <w:rFonts w:ascii="宋体" w:eastAsia="宋体" w:hAnsi="宋体" w:cs="宋体" w:hint="eastAsia"/>
                <w:sz w:val="21"/>
                <w:szCs w:val="21"/>
                <w:lang w:val="en-US" w:eastAsia="zh-CN"/>
              </w:rPr>
              <w:t>5</w:t>
            </w:r>
            <w:r>
              <w:rPr>
                <w:rFonts w:ascii="宋体" w:eastAsia="宋体" w:hAnsi="宋体" w:cs="宋体" w:hint="eastAsia"/>
                <w:sz w:val="21"/>
                <w:szCs w:val="21"/>
              </w:rPr>
              <w:t>分</w:t>
            </w:r>
            <w:r>
              <w:rPr>
                <w:rFonts w:ascii="宋体" w:eastAsia="宋体" w:hAnsi="宋体" w:cs="宋体" w:hint="eastAsia"/>
                <w:sz w:val="21"/>
                <w:szCs w:val="21"/>
                <w:lang w:val="en-US" w:eastAsia="zh-CN"/>
              </w:rPr>
              <w:t>。</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注：以上累计最高得100分，</w:t>
            </w:r>
            <w:r>
              <w:rPr>
                <w:rFonts w:ascii="宋体" w:eastAsia="宋体" w:hAnsi="宋体" w:cs="宋体" w:hint="eastAsia"/>
                <w:sz w:val="21"/>
                <w:szCs w:val="21"/>
                <w:lang w:val="en-US" w:eastAsia="zh-CN"/>
              </w:rPr>
              <w:t>上述除</w:t>
            </w:r>
            <w:r>
              <w:rPr>
                <w:rFonts w:ascii="宋体" w:eastAsia="宋体" w:hAnsi="宋体" w:cs="宋体" w:hint="eastAsia"/>
                <w:sz w:val="21"/>
                <w:szCs w:val="21"/>
              </w:rPr>
              <w:t>（4）（5）（6）</w:t>
            </w: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7</w:t>
            </w: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项人员可与其他项人员重复得分外，其他项</w:t>
            </w:r>
            <w:r>
              <w:rPr>
                <w:rFonts w:ascii="宋体" w:eastAsia="宋体" w:hAnsi="宋体" w:cs="宋体" w:hint="eastAsia"/>
                <w:sz w:val="21"/>
                <w:szCs w:val="21"/>
              </w:rPr>
              <w:t>同一人员不可累计得分，如同一人员满足</w:t>
            </w:r>
            <w:r>
              <w:rPr>
                <w:rFonts w:ascii="宋体" w:eastAsia="宋体" w:hAnsi="宋体" w:cs="宋体" w:hint="eastAsia"/>
                <w:sz w:val="21"/>
                <w:szCs w:val="21"/>
                <w:lang w:val="en-US" w:eastAsia="zh-CN"/>
              </w:rPr>
              <w:t>其他项</w:t>
            </w:r>
            <w:r>
              <w:rPr>
                <w:rFonts w:ascii="宋体" w:eastAsia="宋体" w:hAnsi="宋体" w:cs="宋体" w:hint="eastAsia"/>
                <w:sz w:val="21"/>
                <w:szCs w:val="21"/>
              </w:rPr>
              <w:t>评分内容得分</w:t>
            </w:r>
            <w:r>
              <w:rPr>
                <w:rFonts w:ascii="宋体" w:eastAsia="宋体" w:hAnsi="宋体" w:cs="宋体" w:hint="eastAsia"/>
                <w:sz w:val="21"/>
                <w:szCs w:val="21"/>
                <w:lang w:val="en-US" w:eastAsia="zh-CN"/>
              </w:rPr>
              <w:t>要求</w:t>
            </w:r>
            <w:r>
              <w:rPr>
                <w:rFonts w:ascii="宋体" w:eastAsia="宋体" w:hAnsi="宋体" w:cs="宋体" w:hint="eastAsia"/>
                <w:sz w:val="21"/>
                <w:szCs w:val="21"/>
              </w:rPr>
              <w:t>的，按得分最优情况计分。</w:t>
            </w: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kern w:val="0"/>
                <w:sz w:val="21"/>
                <w:szCs w:val="21"/>
              </w:rPr>
            </w:pP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kern w:val="0"/>
                <w:sz w:val="21"/>
                <w:szCs w:val="21"/>
              </w:rPr>
              <w:t>（二）评分依据：</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1.提供以上项目团队成员通过投标单位缴纳的载有社保部门或税务部门公章的近三个月内任意一个月的个人社保证明，如供应商为新成立单位且成立时间不足一个月的，可提供加盖公章的情况说明或者证明材料亦视为符合。如为退休返聘人员则提供劳动合同或返聘协议；</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2.上述评分内容第（1）（2）（3）（4）（5）（6）项需提供该人员相对应的证书</w:t>
            </w:r>
            <w:r>
              <w:rPr>
                <w:rFonts w:ascii="宋体" w:eastAsia="宋体" w:hAnsi="宋体" w:cs="宋体" w:hint="eastAsia"/>
                <w:kern w:val="0"/>
                <w:sz w:val="21"/>
                <w:szCs w:val="21"/>
              </w:rPr>
              <w:t>（电工操作证还需提供官方网站截图）</w:t>
            </w:r>
            <w:r>
              <w:rPr>
                <w:rFonts w:ascii="宋体" w:eastAsia="宋体" w:hAnsi="宋体" w:cs="宋体" w:hint="eastAsia"/>
                <w:sz w:val="21"/>
                <w:szCs w:val="21"/>
              </w:rPr>
              <w:t>作为得分依据</w:t>
            </w:r>
            <w:r>
              <w:rPr>
                <w:rFonts w:ascii="宋体" w:eastAsia="宋体" w:hAnsi="宋体" w:cs="宋体" w:hint="eastAsia"/>
                <w:sz w:val="21"/>
                <w:szCs w:val="21"/>
                <w:lang w:eastAsia="zh-CN"/>
              </w:rPr>
              <w:t>，</w:t>
            </w:r>
            <w:r>
              <w:rPr>
                <w:rFonts w:ascii="宋体" w:eastAsia="宋体" w:hAnsi="宋体" w:cs="宋体" w:hint="eastAsia"/>
                <w:sz w:val="21"/>
                <w:szCs w:val="21"/>
              </w:rPr>
              <w:t>如注册安全工程师证书上未体现专业类别</w:t>
            </w:r>
            <w:r>
              <w:rPr>
                <w:rFonts w:ascii="宋体" w:eastAsia="宋体" w:hAnsi="宋体" w:cs="宋体" w:hint="eastAsia"/>
                <w:sz w:val="21"/>
                <w:szCs w:val="21"/>
                <w:lang w:val="en-US" w:eastAsia="zh-CN"/>
              </w:rPr>
              <w:t>的</w:t>
            </w:r>
            <w:r>
              <w:rPr>
                <w:rFonts w:ascii="宋体" w:eastAsia="宋体" w:hAnsi="宋体" w:cs="宋体" w:hint="eastAsia"/>
                <w:sz w:val="21"/>
                <w:szCs w:val="21"/>
              </w:rPr>
              <w:t>，需补充官网或权威机构查询截图；</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lang w:eastAsia="zh-CN"/>
              </w:rPr>
            </w:pPr>
            <w:r>
              <w:rPr>
                <w:rFonts w:ascii="宋体" w:eastAsia="宋体" w:hAnsi="宋体" w:cs="宋体" w:hint="eastAsia"/>
                <w:sz w:val="21"/>
                <w:szCs w:val="21"/>
              </w:rPr>
              <w:t>3.上述评分内容第（</w:t>
            </w:r>
            <w:r>
              <w:rPr>
                <w:rFonts w:ascii="宋体" w:eastAsia="宋体" w:hAnsi="宋体" w:cs="宋体" w:hint="eastAsia"/>
                <w:sz w:val="21"/>
                <w:szCs w:val="21"/>
                <w:lang w:val="en-US" w:eastAsia="zh-CN"/>
              </w:rPr>
              <w:t>7</w:t>
            </w:r>
            <w:r>
              <w:rPr>
                <w:rFonts w:ascii="宋体" w:eastAsia="宋体" w:hAnsi="宋体" w:cs="宋体" w:hint="eastAsia"/>
                <w:sz w:val="21"/>
                <w:szCs w:val="21"/>
              </w:rPr>
              <w:t>）项</w:t>
            </w:r>
            <w:r>
              <w:rPr>
                <w:rFonts w:ascii="宋体" w:eastAsia="宋体" w:hAnsi="宋体" w:cs="宋体" w:hint="eastAsia"/>
                <w:sz w:val="21"/>
                <w:szCs w:val="21"/>
                <w:lang w:val="en-US" w:eastAsia="zh-CN"/>
              </w:rPr>
              <w:t>需提供深圳供电局外单位进入公司作业工作票资质管理系统查询截图</w:t>
            </w:r>
            <w:r>
              <w:rPr>
                <w:rFonts w:ascii="宋体" w:eastAsia="宋体" w:hAnsi="宋体" w:cs="宋体" w:hint="eastAsia"/>
                <w:sz w:val="21"/>
                <w:szCs w:val="21"/>
              </w:rPr>
              <w:t>,</w:t>
            </w:r>
            <w:r>
              <w:rPr>
                <w:rFonts w:ascii="宋体" w:eastAsia="宋体" w:hAnsi="宋体" w:cs="宋体" w:hint="eastAsia"/>
                <w:kern w:val="0"/>
                <w:sz w:val="21"/>
                <w:szCs w:val="21"/>
                <w:lang w:val="en-US" w:eastAsia="zh-CN"/>
              </w:rPr>
              <w:t>截图中包含人员姓名及资质有效期，有效期未包含2024年内时间段</w:t>
            </w:r>
            <w:r>
              <w:rPr>
                <w:rFonts w:ascii="宋体" w:eastAsia="宋体" w:hAnsi="宋体" w:cs="宋体" w:hint="eastAsia"/>
                <w:sz w:val="21"/>
                <w:szCs w:val="21"/>
              </w:rPr>
              <w:t>的不计得分</w:t>
            </w:r>
            <w:r>
              <w:rPr>
                <w:rFonts w:ascii="宋体" w:eastAsia="宋体" w:hAnsi="宋体" w:cs="宋体" w:hint="eastAsia"/>
                <w:sz w:val="21"/>
                <w:szCs w:val="21"/>
                <w:lang w:eastAsia="zh-CN"/>
              </w:rPr>
              <w:t>；</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4.</w:t>
            </w:r>
            <w:r>
              <w:rPr>
                <w:rFonts w:ascii="宋体" w:eastAsia="宋体" w:hAnsi="宋体" w:cs="宋体" w:hint="eastAsia"/>
                <w:sz w:val="21"/>
                <w:szCs w:val="21"/>
              </w:rPr>
              <w:t>上述评分内容第</w:t>
            </w: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3</w:t>
            </w: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项还需提供电工人员身份证；</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lang w:val="en-US" w:eastAsia="zh-CN"/>
              </w:rPr>
              <w:t>5</w:t>
            </w:r>
            <w:r>
              <w:rPr>
                <w:rFonts w:ascii="宋体" w:eastAsia="宋体" w:hAnsi="宋体" w:cs="宋体" w:hint="eastAsia"/>
                <w:sz w:val="21"/>
                <w:szCs w:val="21"/>
              </w:rPr>
              <w:t>.</w:t>
            </w:r>
            <w:r>
              <w:rPr>
                <w:rFonts w:ascii="宋体" w:eastAsia="宋体" w:hAnsi="宋体" w:cs="宋体" w:hint="eastAsia"/>
                <w:kern w:val="0"/>
                <w:sz w:val="21"/>
                <w:szCs w:val="21"/>
              </w:rPr>
              <w:t>提供</w:t>
            </w:r>
            <w:r>
              <w:rPr>
                <w:rFonts w:ascii="宋体" w:eastAsia="宋体" w:hAnsi="宋体" w:cs="宋体" w:hint="eastAsia"/>
                <w:sz w:val="21"/>
                <w:szCs w:val="21"/>
              </w:rPr>
              <w:t>以上证明文件</w:t>
            </w:r>
            <w:r>
              <w:rPr>
                <w:rFonts w:ascii="宋体" w:eastAsia="宋体" w:hAnsi="宋体" w:cs="宋体" w:hint="eastAsia"/>
                <w:kern w:val="0"/>
                <w:sz w:val="21"/>
                <w:szCs w:val="21"/>
              </w:rPr>
              <w:t>扫描件，</w:t>
            </w:r>
            <w:r>
              <w:rPr>
                <w:rFonts w:ascii="宋体" w:eastAsia="宋体" w:hAnsi="宋体" w:cs="宋体" w:hint="eastAsia"/>
                <w:sz w:val="21"/>
                <w:szCs w:val="21"/>
              </w:rPr>
              <w:t>如涉及网站截图或照片等证明材料,需提供清晰图片,</w:t>
            </w:r>
            <w:r>
              <w:rPr>
                <w:rFonts w:ascii="宋体" w:eastAsia="宋体" w:hAnsi="宋体" w:cs="宋体" w:hint="eastAsia"/>
                <w:kern w:val="0"/>
                <w:sz w:val="21"/>
                <w:szCs w:val="21"/>
              </w:rPr>
              <w:t>原件备查</w:t>
            </w:r>
            <w:r>
              <w:rPr>
                <w:rFonts w:ascii="宋体" w:eastAsia="宋体" w:hAnsi="宋体" w:cs="宋体" w:hint="eastAsia"/>
                <w:sz w:val="21"/>
                <w:szCs w:val="21"/>
              </w:rPr>
              <w:t>。未按要求提供有效证明材料或提供不清晰导致评委无法识别的不计得分。</w:t>
            </w:r>
          </w:p>
        </w:tc>
      </w:tr>
      <w:tr>
        <w:tblPrEx>
          <w:tblW w:w="9639" w:type="dxa"/>
          <w:jc w:val="center"/>
          <w:tblLayout w:type="fixed"/>
          <w:tblCellMar>
            <w:top w:w="20" w:type="dxa"/>
            <w:left w:w="108" w:type="dxa"/>
            <w:bottom w:w="20" w:type="dxa"/>
            <w:right w:w="108" w:type="dxa"/>
          </w:tblCellMar>
        </w:tblPrEx>
        <w:trPr>
          <w:jc w:val="center"/>
        </w:trPr>
        <w:tc>
          <w:tcPr>
            <w:tcW w:w="680" w:type="dxa"/>
            <w:vMerge/>
            <w:tcBorders>
              <w:left w:val="single" w:sz="8" w:space="0" w:color="000000"/>
              <w:right w:val="single" w:sz="8" w:space="0" w:color="000000"/>
            </w:tcBorders>
            <w:vAlign w:val="center"/>
          </w:tcPr>
          <w:p>
            <w:pPr>
              <w:keepNext w:val="0"/>
              <w:keepLines w:val="0"/>
              <w:pageBreakBefore w:val="0"/>
              <w:kinsoku/>
              <w:wordWrap/>
              <w:overflowPunct/>
              <w:topLinePunct w:val="0"/>
              <w:bidi w:val="0"/>
              <w:spacing w:line="360" w:lineRule="auto"/>
              <w:textAlignment w:val="auto"/>
              <w:rPr>
                <w:rFonts w:ascii="宋体" w:eastAsia="宋体" w:hAnsi="宋体" w:cs="宋体" w:hint="eastAsia"/>
                <w:b/>
                <w:bCs/>
                <w:color w:val="0000FF"/>
                <w:sz w:val="21"/>
                <w:szCs w:val="21"/>
              </w:rPr>
            </w:pPr>
          </w:p>
        </w:tc>
        <w:tc>
          <w:tcPr>
            <w:tcW w:w="680"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lang w:eastAsia="zh-CN"/>
              </w:rPr>
            </w:pPr>
            <w:r>
              <w:rPr>
                <w:rFonts w:ascii="宋体" w:eastAsia="宋体" w:hAnsi="宋体" w:cs="宋体" w:hint="eastAsia"/>
                <w:sz w:val="21"/>
                <w:szCs w:val="21"/>
                <w:lang w:val="en-US" w:eastAsia="zh-CN"/>
              </w:rPr>
              <w:t>8</w:t>
            </w:r>
          </w:p>
        </w:tc>
        <w:tc>
          <w:tcPr>
            <w:tcW w:w="2835"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rPr>
            </w:pPr>
            <w:r>
              <w:rPr>
                <w:rFonts w:ascii="宋体" w:eastAsia="宋体" w:hAnsi="宋体" w:cs="宋体" w:hint="eastAsia"/>
                <w:sz w:val="21"/>
                <w:szCs w:val="21"/>
              </w:rPr>
              <w:t>项目拟</w:t>
            </w:r>
            <w:r>
              <w:rPr>
                <w:rFonts w:ascii="宋体" w:eastAsia="宋体" w:hAnsi="宋体" w:cs="宋体" w:hint="eastAsia"/>
                <w:sz w:val="21"/>
                <w:szCs w:val="21"/>
                <w:lang w:val="en-US" w:eastAsia="zh-CN"/>
              </w:rPr>
              <w:t>投入</w:t>
            </w:r>
            <w:r>
              <w:rPr>
                <w:rFonts w:ascii="宋体" w:eastAsia="宋体" w:hAnsi="宋体" w:cs="宋体" w:hint="eastAsia"/>
                <w:sz w:val="21"/>
                <w:szCs w:val="21"/>
              </w:rPr>
              <w:t>的发电车情况</w:t>
            </w:r>
          </w:p>
        </w:tc>
        <w:tc>
          <w:tcPr>
            <w:tcW w:w="681"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lang w:eastAsia="zh-CN"/>
              </w:rPr>
            </w:pPr>
            <w:r>
              <w:rPr>
                <w:rFonts w:ascii="宋体" w:eastAsia="宋体" w:hAnsi="宋体" w:cs="宋体" w:hint="eastAsia"/>
                <w:sz w:val="21"/>
                <w:szCs w:val="21"/>
                <w:lang w:val="en-US" w:eastAsia="zh-CN"/>
              </w:rPr>
              <w:t>2</w:t>
            </w:r>
          </w:p>
        </w:tc>
        <w:tc>
          <w:tcPr>
            <w:tcW w:w="4763"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（一）评分内容：</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考察投标人在本项目车辆投入情况：</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1</w:t>
            </w: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每</w:t>
            </w:r>
            <w:r>
              <w:rPr>
                <w:rFonts w:ascii="宋体" w:eastAsia="宋体" w:hAnsi="宋体" w:cs="宋体" w:hint="eastAsia"/>
                <w:sz w:val="21"/>
                <w:szCs w:val="21"/>
              </w:rPr>
              <w:t>提供1台（自有或租赁均可）</w:t>
            </w:r>
            <w:r>
              <w:rPr>
                <w:rFonts w:ascii="宋体" w:eastAsia="宋体" w:hAnsi="宋体" w:cs="宋体" w:hint="eastAsia"/>
                <w:sz w:val="21"/>
                <w:szCs w:val="21"/>
                <w:lang w:val="en-US" w:eastAsia="zh-CN"/>
              </w:rPr>
              <w:t>最大功率不低于</w:t>
            </w:r>
            <w:r>
              <w:rPr>
                <w:rFonts w:ascii="宋体" w:eastAsia="宋体" w:hAnsi="宋体" w:cs="宋体" w:hint="eastAsia"/>
                <w:sz w:val="21"/>
                <w:szCs w:val="21"/>
              </w:rPr>
              <w:t>100KW的粤B牌发电车得</w:t>
            </w:r>
            <w:r>
              <w:rPr>
                <w:rFonts w:ascii="宋体" w:eastAsia="宋体" w:hAnsi="宋体" w:cs="宋体" w:hint="eastAsia"/>
                <w:sz w:val="21"/>
                <w:szCs w:val="21"/>
                <w:lang w:val="en-US" w:eastAsia="zh-CN"/>
              </w:rPr>
              <w:t>2</w:t>
            </w:r>
            <w:r>
              <w:rPr>
                <w:rFonts w:ascii="宋体" w:eastAsia="宋体" w:hAnsi="宋体" w:cs="宋体" w:hint="eastAsia"/>
                <w:sz w:val="21"/>
                <w:szCs w:val="21"/>
              </w:rPr>
              <w:t>5分，</w:t>
            </w:r>
            <w:r>
              <w:rPr>
                <w:rFonts w:ascii="宋体" w:eastAsia="宋体" w:hAnsi="宋体" w:cs="宋体" w:hint="eastAsia"/>
                <w:sz w:val="21"/>
                <w:szCs w:val="21"/>
                <w:lang w:val="en-US" w:eastAsia="zh-CN"/>
              </w:rPr>
              <w:t>此项最高得75分</w:t>
            </w:r>
            <w:r>
              <w:rPr>
                <w:rFonts w:ascii="宋体" w:eastAsia="宋体" w:hAnsi="宋体" w:cs="宋体" w:hint="eastAsia"/>
                <w:sz w:val="21"/>
                <w:szCs w:val="21"/>
              </w:rPr>
              <w:t>；</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lang w:val="en-US"/>
              </w:rPr>
            </w:pP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2</w:t>
            </w: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承诺</w:t>
            </w:r>
            <w:r>
              <w:rPr>
                <w:rFonts w:ascii="宋体" w:eastAsia="宋体" w:hAnsi="宋体" w:cs="宋体" w:hint="eastAsia"/>
                <w:sz w:val="21"/>
                <w:szCs w:val="21"/>
              </w:rPr>
              <w:t>中标后</w:t>
            </w:r>
            <w:r>
              <w:rPr>
                <w:rFonts w:ascii="宋体" w:eastAsia="宋体" w:hAnsi="宋体" w:cs="宋体" w:hint="eastAsia"/>
                <w:sz w:val="21"/>
                <w:szCs w:val="21"/>
                <w:lang w:val="en-US" w:eastAsia="zh-CN"/>
              </w:rPr>
              <w:t>发电车2小时内到达采购人需求地点得25分，其他情况不得分。</w:t>
            </w:r>
          </w:p>
          <w:p>
            <w:pPr>
              <w:pStyle w:val="a"/>
              <w:keepNext w:val="0"/>
              <w:keepLines w:val="0"/>
              <w:pageBreakBefore w:val="0"/>
              <w:kinsoku/>
              <w:wordWrap/>
              <w:overflowPunct/>
              <w:topLinePunct w:val="0"/>
              <w:bidi w:val="0"/>
              <w:spacing w:before="0" w:after="0"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注：以上累计最高得100分。</w:t>
            </w: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kern w:val="0"/>
                <w:sz w:val="21"/>
                <w:szCs w:val="21"/>
              </w:rPr>
            </w:pP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kern w:val="0"/>
                <w:sz w:val="21"/>
                <w:szCs w:val="21"/>
              </w:rPr>
              <w:t>（二）评分依据：</w:t>
            </w:r>
          </w:p>
          <w:p>
            <w:pPr>
              <w:pStyle w:val="a"/>
              <w:keepNext w:val="0"/>
              <w:keepLines w:val="0"/>
              <w:pageBreakBefore w:val="0"/>
              <w:kinsoku/>
              <w:wordWrap/>
              <w:overflowPunct/>
              <w:topLinePunct w:val="0"/>
              <w:bidi w:val="0"/>
              <w:spacing w:before="0" w:after="0"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1.上述评分内容第（1）项要求提供车辆权属资料</w:t>
            </w:r>
            <w:r>
              <w:rPr>
                <w:rFonts w:ascii="宋体" w:eastAsia="宋体" w:hAnsi="宋体" w:cs="宋体" w:hint="eastAsia"/>
                <w:sz w:val="21"/>
                <w:szCs w:val="21"/>
                <w:lang w:eastAsia="zh-CN"/>
              </w:rPr>
              <w:t>【</w:t>
            </w:r>
            <w:r>
              <w:rPr>
                <w:rFonts w:ascii="宋体" w:eastAsia="宋体" w:hAnsi="宋体" w:cs="宋体" w:hint="eastAsia"/>
                <w:sz w:val="21"/>
                <w:szCs w:val="21"/>
              </w:rPr>
              <w:t>自有车辆要求提供车辆行驶证，租赁车辆要求同时提供行驶证和租赁合同关键信息（租赁期限需涵盖2024年1月1日至2024年12月31日）</w:t>
            </w:r>
            <w:r>
              <w:rPr>
                <w:rFonts w:ascii="宋体" w:eastAsia="宋体" w:hAnsi="宋体" w:cs="宋体" w:hint="eastAsia"/>
                <w:sz w:val="21"/>
                <w:szCs w:val="21"/>
                <w:lang w:val="en-US" w:eastAsia="zh-CN"/>
              </w:rPr>
              <w:t>】</w:t>
            </w:r>
            <w:r>
              <w:rPr>
                <w:rFonts w:ascii="宋体" w:eastAsia="宋体" w:hAnsi="宋体" w:cs="宋体" w:hint="eastAsia"/>
                <w:sz w:val="21"/>
                <w:szCs w:val="21"/>
              </w:rPr>
              <w:t>和车辆照片作为得分依据；若租赁期限未涵盖上述期限的，还需同时提供承诺函（格式自拟），承诺签订合同后10个工作日内提供租赁期限涵盖本项目服务期限的租赁合同给采购方备案，否则按违约处理。未按要求承诺提供承诺或承诺内容不全不得分；</w:t>
            </w:r>
          </w:p>
          <w:p>
            <w:pPr>
              <w:pStyle w:val="a"/>
              <w:keepNext w:val="0"/>
              <w:keepLines w:val="0"/>
              <w:pageBreakBefore w:val="0"/>
              <w:kinsoku/>
              <w:wordWrap/>
              <w:overflowPunct/>
              <w:topLinePunct w:val="0"/>
              <w:bidi w:val="0"/>
              <w:spacing w:before="0" w:after="0" w:line="360" w:lineRule="auto"/>
              <w:jc w:val="left"/>
              <w:textAlignment w:val="auto"/>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2.</w:t>
            </w:r>
            <w:r>
              <w:rPr>
                <w:rFonts w:ascii="宋体" w:eastAsia="宋体" w:hAnsi="宋体" w:cs="宋体" w:hint="eastAsia"/>
                <w:sz w:val="21"/>
                <w:szCs w:val="21"/>
              </w:rPr>
              <w:t>上述评分内容第（</w:t>
            </w:r>
            <w:r>
              <w:rPr>
                <w:rFonts w:ascii="宋体" w:eastAsia="宋体" w:hAnsi="宋体" w:cs="宋体" w:hint="eastAsia"/>
                <w:sz w:val="21"/>
                <w:szCs w:val="21"/>
                <w:lang w:val="en-US" w:eastAsia="zh-CN"/>
              </w:rPr>
              <w:t>2</w:t>
            </w:r>
            <w:r>
              <w:rPr>
                <w:rFonts w:ascii="宋体" w:eastAsia="宋体" w:hAnsi="宋体" w:cs="宋体" w:hint="eastAsia"/>
                <w:sz w:val="21"/>
                <w:szCs w:val="21"/>
              </w:rPr>
              <w:t>）项要求提供</w:t>
            </w:r>
            <w:r>
              <w:rPr>
                <w:rFonts w:ascii="宋体" w:eastAsia="宋体" w:hAnsi="宋体" w:cs="宋体" w:hint="eastAsia"/>
                <w:sz w:val="21"/>
                <w:szCs w:val="21"/>
                <w:lang w:val="en-US" w:eastAsia="zh-CN"/>
              </w:rPr>
              <w:t>承诺函作为得分依据，未提供承诺或承诺内容不满足要求不得分；</w:t>
            </w:r>
          </w:p>
          <w:p>
            <w:pPr>
              <w:pStyle w:val="a"/>
              <w:keepNext w:val="0"/>
              <w:keepLines w:val="0"/>
              <w:pageBreakBefore w:val="0"/>
              <w:kinsoku/>
              <w:wordWrap/>
              <w:overflowPunct/>
              <w:topLinePunct w:val="0"/>
              <w:bidi w:val="0"/>
              <w:spacing w:before="0" w:after="0"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lang w:val="en-US" w:eastAsia="zh-CN"/>
              </w:rPr>
              <w:t>3</w:t>
            </w:r>
            <w:r>
              <w:rPr>
                <w:rFonts w:ascii="宋体" w:eastAsia="宋体" w:hAnsi="宋体" w:cs="宋体" w:hint="eastAsia"/>
                <w:sz w:val="21"/>
                <w:szCs w:val="21"/>
              </w:rPr>
              <w:t>.提供以上证明文件扫描件，如涉及网站截图或照片等证明材料,需提供清晰图片,原件备查。未按要求提供有效证明材料或提供不清晰导致评委无法识别的不计得分。</w:t>
            </w:r>
          </w:p>
        </w:tc>
      </w:tr>
      <w:tr>
        <w:tblPrEx>
          <w:tblW w:w="9639" w:type="dxa"/>
          <w:jc w:val="center"/>
          <w:tblLayout w:type="fixed"/>
          <w:tblCellMar>
            <w:top w:w="20" w:type="dxa"/>
            <w:left w:w="108" w:type="dxa"/>
            <w:bottom w:w="20" w:type="dxa"/>
            <w:right w:w="108" w:type="dxa"/>
          </w:tblCellMar>
        </w:tblPrEx>
        <w:trPr>
          <w:jc w:val="center"/>
        </w:trPr>
        <w:tc>
          <w:tcPr>
            <w:tcW w:w="680" w:type="dxa"/>
            <w:vMerge/>
            <w:tcBorders>
              <w:left w:val="single" w:sz="8" w:space="0" w:color="000000"/>
              <w:right w:val="single" w:sz="8" w:space="0" w:color="000000"/>
            </w:tcBorders>
            <w:vAlign w:val="center"/>
          </w:tcPr>
          <w:p>
            <w:pPr>
              <w:keepNext w:val="0"/>
              <w:keepLines w:val="0"/>
              <w:pageBreakBefore w:val="0"/>
              <w:kinsoku/>
              <w:wordWrap/>
              <w:overflowPunct/>
              <w:topLinePunct w:val="0"/>
              <w:bidi w:val="0"/>
              <w:spacing w:line="360" w:lineRule="auto"/>
              <w:textAlignment w:val="auto"/>
              <w:rPr>
                <w:rFonts w:ascii="宋体" w:eastAsia="宋体" w:hAnsi="宋体" w:cs="宋体" w:hint="eastAsia"/>
                <w:b/>
                <w:bCs/>
                <w:color w:val="0000FF"/>
                <w:sz w:val="21"/>
                <w:szCs w:val="21"/>
              </w:rPr>
            </w:pPr>
          </w:p>
        </w:tc>
        <w:tc>
          <w:tcPr>
            <w:tcW w:w="680"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lang w:eastAsia="zh-CN"/>
              </w:rPr>
            </w:pPr>
            <w:r>
              <w:rPr>
                <w:rFonts w:ascii="宋体" w:eastAsia="宋体" w:hAnsi="宋体" w:cs="宋体" w:hint="eastAsia"/>
                <w:sz w:val="21"/>
                <w:szCs w:val="21"/>
                <w:lang w:val="en-US" w:eastAsia="zh-CN"/>
              </w:rPr>
              <w:t>9</w:t>
            </w:r>
          </w:p>
        </w:tc>
        <w:tc>
          <w:tcPr>
            <w:tcW w:w="2835"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lang w:val="en-US" w:eastAsia="zh-CN"/>
              </w:rPr>
            </w:pPr>
            <w:r>
              <w:rPr>
                <w:rFonts w:ascii="宋体" w:eastAsia="宋体" w:hAnsi="宋体" w:cs="宋体" w:hint="eastAsia"/>
                <w:sz w:val="21"/>
                <w:szCs w:val="21"/>
              </w:rPr>
              <w:t>项目拟投入的维护设备</w:t>
            </w:r>
            <w:r>
              <w:rPr>
                <w:rFonts w:ascii="宋体" w:eastAsia="宋体" w:hAnsi="宋体" w:cs="宋体" w:hint="eastAsia"/>
                <w:sz w:val="21"/>
                <w:szCs w:val="21"/>
                <w:lang w:val="en-US" w:eastAsia="zh-CN"/>
              </w:rPr>
              <w:t>情况</w:t>
            </w:r>
          </w:p>
        </w:tc>
        <w:tc>
          <w:tcPr>
            <w:tcW w:w="681"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lang w:eastAsia="zh-CN"/>
              </w:rPr>
            </w:pPr>
            <w:r>
              <w:rPr>
                <w:rFonts w:ascii="宋体" w:eastAsia="宋体" w:hAnsi="宋体" w:cs="宋体" w:hint="eastAsia"/>
                <w:sz w:val="21"/>
                <w:szCs w:val="21"/>
                <w:lang w:val="en-US" w:eastAsia="zh-CN"/>
              </w:rPr>
              <w:t>2</w:t>
            </w:r>
          </w:p>
        </w:tc>
        <w:tc>
          <w:tcPr>
            <w:tcW w:w="4763"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（一）评分内容：</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考察投标人在本项目维护设备投入情况：</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（1）</w:t>
            </w:r>
            <w:r>
              <w:rPr>
                <w:rFonts w:ascii="宋体" w:eastAsia="宋体" w:hAnsi="宋体" w:cs="宋体" w:hint="eastAsia"/>
                <w:sz w:val="21"/>
                <w:szCs w:val="21"/>
                <w:lang w:val="en-US" w:eastAsia="zh-CN"/>
              </w:rPr>
              <w:t>每</w:t>
            </w:r>
            <w:r>
              <w:rPr>
                <w:rFonts w:ascii="宋体" w:eastAsia="宋体" w:hAnsi="宋体" w:cs="宋体" w:hint="eastAsia"/>
                <w:sz w:val="21"/>
                <w:szCs w:val="21"/>
              </w:rPr>
              <w:t>提供</w:t>
            </w:r>
            <w:r>
              <w:rPr>
                <w:rFonts w:ascii="宋体" w:eastAsia="宋体" w:hAnsi="宋体" w:cs="宋体" w:hint="eastAsia"/>
                <w:sz w:val="21"/>
                <w:szCs w:val="21"/>
                <w:lang w:val="en-US" w:eastAsia="zh-CN"/>
              </w:rPr>
              <w:t>1</w:t>
            </w:r>
            <w:r>
              <w:rPr>
                <w:rFonts w:ascii="宋体" w:eastAsia="宋体" w:hAnsi="宋体" w:cs="宋体" w:hint="eastAsia"/>
                <w:sz w:val="21"/>
                <w:szCs w:val="21"/>
              </w:rPr>
              <w:t>台高压电缆故障测试仪得</w:t>
            </w:r>
            <w:r>
              <w:rPr>
                <w:rFonts w:ascii="宋体" w:eastAsia="宋体" w:hAnsi="宋体" w:cs="宋体" w:hint="eastAsia"/>
                <w:sz w:val="21"/>
                <w:szCs w:val="21"/>
                <w:lang w:val="en-US" w:eastAsia="zh-CN"/>
              </w:rPr>
              <w:t>15</w:t>
            </w:r>
            <w:r>
              <w:rPr>
                <w:rFonts w:ascii="宋体" w:eastAsia="宋体" w:hAnsi="宋体" w:cs="宋体" w:hint="eastAsia"/>
                <w:sz w:val="21"/>
                <w:szCs w:val="21"/>
              </w:rPr>
              <w:t>分</w:t>
            </w: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本项最高得分30分</w:t>
            </w:r>
            <w:r>
              <w:rPr>
                <w:rFonts w:ascii="宋体" w:eastAsia="宋体" w:hAnsi="宋体" w:cs="宋体" w:hint="eastAsia"/>
                <w:sz w:val="21"/>
                <w:szCs w:val="21"/>
              </w:rPr>
              <w:t>；</w:t>
            </w:r>
          </w:p>
          <w:p>
            <w:pPr>
              <w:pStyle w:val="a"/>
              <w:keepNext w:val="0"/>
              <w:keepLines w:val="0"/>
              <w:pageBreakBefore w:val="0"/>
              <w:kinsoku/>
              <w:wordWrap/>
              <w:overflowPunct/>
              <w:topLinePunct w:val="0"/>
              <w:bidi w:val="0"/>
              <w:spacing w:before="0" w:after="0" w:line="360" w:lineRule="auto"/>
              <w:jc w:val="left"/>
              <w:textAlignment w:val="auto"/>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（2）每提供1台</w:t>
            </w:r>
            <w:r>
              <w:rPr>
                <w:rFonts w:ascii="宋体" w:eastAsia="宋体" w:hAnsi="宋体" w:cs="宋体" w:hint="eastAsia"/>
                <w:sz w:val="21"/>
                <w:szCs w:val="21"/>
              </w:rPr>
              <w:t>电缆路径探测仪</w:t>
            </w:r>
            <w:r>
              <w:rPr>
                <w:rFonts w:ascii="宋体" w:eastAsia="宋体" w:hAnsi="宋体" w:cs="宋体" w:hint="eastAsia"/>
                <w:sz w:val="21"/>
                <w:szCs w:val="21"/>
                <w:lang w:val="en-US" w:eastAsia="zh-CN"/>
              </w:rPr>
              <w:t>得15分，本项最高得分30分；</w:t>
            </w:r>
          </w:p>
          <w:p>
            <w:pPr>
              <w:pStyle w:val="a"/>
              <w:keepNext w:val="0"/>
              <w:keepLines w:val="0"/>
              <w:pageBreakBefore w:val="0"/>
              <w:kinsoku/>
              <w:wordWrap/>
              <w:overflowPunct/>
              <w:topLinePunct w:val="0"/>
              <w:bidi w:val="0"/>
              <w:spacing w:before="0" w:after="0" w:line="360" w:lineRule="auto"/>
              <w:jc w:val="left"/>
              <w:textAlignment w:val="auto"/>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（3）每提供1台耐压测试仪得5分，本项最高得分10分；</w:t>
            </w:r>
          </w:p>
          <w:p>
            <w:pPr>
              <w:pStyle w:val="a"/>
              <w:keepNext w:val="0"/>
              <w:keepLines w:val="0"/>
              <w:pageBreakBefore w:val="0"/>
              <w:kinsoku/>
              <w:wordWrap/>
              <w:overflowPunct/>
              <w:topLinePunct w:val="0"/>
              <w:bidi w:val="0"/>
              <w:spacing w:before="0" w:after="0" w:line="360" w:lineRule="auto"/>
              <w:jc w:val="left"/>
              <w:textAlignment w:val="auto"/>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（4）每提供1台RTK定位仪得10分，本项最高得分10分；</w:t>
            </w:r>
          </w:p>
          <w:p>
            <w:pPr>
              <w:pStyle w:val="a"/>
              <w:keepNext w:val="0"/>
              <w:keepLines w:val="0"/>
              <w:pageBreakBefore w:val="0"/>
              <w:kinsoku/>
              <w:wordWrap/>
              <w:overflowPunct/>
              <w:topLinePunct w:val="0"/>
              <w:bidi w:val="0"/>
              <w:spacing w:before="0" w:after="0" w:line="360" w:lineRule="auto"/>
              <w:jc w:val="left"/>
              <w:textAlignment w:val="auto"/>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（5）每提供1台红外热成像仪（热成像仪测温范围要包含-20℃</w:t>
            </w:r>
            <w:r>
              <w:rPr>
                <w:rFonts w:ascii="宋体" w:eastAsia="宋体" w:hAnsi="宋体" w:cs="宋体" w:hint="eastAsia"/>
                <w:i w:val="0"/>
                <w:iCs w:val="0"/>
                <w:caps w:val="0"/>
                <w:color w:val="333333"/>
                <w:spacing w:val="0"/>
                <w:sz w:val="21"/>
                <w:szCs w:val="21"/>
                <w:shd w:val="clear" w:color="auto" w:fill="FFFFFF"/>
              </w:rPr>
              <w:t>~</w:t>
            </w:r>
            <w:r>
              <w:rPr>
                <w:rFonts w:ascii="宋体" w:eastAsia="宋体" w:hAnsi="宋体" w:cs="宋体" w:hint="eastAsia"/>
                <w:i w:val="0"/>
                <w:iCs w:val="0"/>
                <w:caps w:val="0"/>
                <w:color w:val="333333"/>
                <w:spacing w:val="0"/>
                <w:sz w:val="21"/>
                <w:szCs w:val="21"/>
                <w:shd w:val="clear" w:color="auto" w:fill="FFFFFF"/>
                <w:lang w:val="en-US" w:eastAsia="zh-CN"/>
              </w:rPr>
              <w:t>350</w:t>
            </w:r>
            <w:r>
              <w:rPr>
                <w:rFonts w:ascii="宋体" w:eastAsia="宋体" w:hAnsi="宋体" w:cs="宋体" w:hint="eastAsia"/>
                <w:sz w:val="21"/>
                <w:szCs w:val="21"/>
                <w:lang w:val="en-US" w:eastAsia="zh-CN"/>
              </w:rPr>
              <w:t>℃,采用至少6点测温规则测温）得4分，本项最高得分20分。</w:t>
            </w:r>
          </w:p>
          <w:p>
            <w:pPr>
              <w:pStyle w:val="a"/>
              <w:keepNext w:val="0"/>
              <w:keepLines w:val="0"/>
              <w:pageBreakBefore w:val="0"/>
              <w:kinsoku/>
              <w:wordWrap/>
              <w:overflowPunct/>
              <w:topLinePunct w:val="0"/>
              <w:bidi w:val="0"/>
              <w:spacing w:before="0" w:after="0" w:line="360" w:lineRule="auto"/>
              <w:jc w:val="left"/>
              <w:textAlignment w:val="auto"/>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注：以上累计最高得100分。</w:t>
            </w: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kern w:val="0"/>
                <w:sz w:val="21"/>
                <w:szCs w:val="21"/>
              </w:rPr>
            </w:pP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kern w:val="0"/>
                <w:sz w:val="21"/>
                <w:szCs w:val="21"/>
              </w:rPr>
              <w:t>（二）评分依据：</w:t>
            </w:r>
          </w:p>
          <w:p>
            <w:pPr>
              <w:pStyle w:val="a"/>
              <w:keepNext w:val="0"/>
              <w:keepLines w:val="0"/>
              <w:pageBreakBefore w:val="0"/>
              <w:kinsoku/>
              <w:wordWrap/>
              <w:overflowPunct/>
              <w:topLinePunct w:val="0"/>
              <w:bidi w:val="0"/>
              <w:spacing w:before="0" w:after="0"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1.上述评分内容第（1）（2）（3）</w:t>
            </w: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4</w:t>
            </w: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5</w:t>
            </w:r>
            <w:r>
              <w:rPr>
                <w:rFonts w:ascii="宋体" w:eastAsia="宋体" w:hAnsi="宋体" w:cs="宋体" w:hint="eastAsia"/>
                <w:sz w:val="21"/>
                <w:szCs w:val="21"/>
                <w:lang w:eastAsia="zh-CN"/>
              </w:rPr>
              <w:t>）</w:t>
            </w:r>
            <w:r>
              <w:rPr>
                <w:rFonts w:ascii="宋体" w:eastAsia="宋体" w:hAnsi="宋体" w:cs="宋体" w:hint="eastAsia"/>
                <w:sz w:val="21"/>
                <w:szCs w:val="21"/>
              </w:rPr>
              <w:t>项要求提供设备购买发票及产品说明书作为得分依据</w:t>
            </w: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设备名称与评分内容中要求的设备名称在字面上不完全一致但用途满足要求时，提供</w:t>
            </w:r>
            <w:r>
              <w:rPr>
                <w:rFonts w:ascii="宋体" w:eastAsia="宋体" w:hAnsi="宋体" w:cs="宋体" w:hint="eastAsia"/>
                <w:sz w:val="21"/>
                <w:szCs w:val="21"/>
                <w:lang w:eastAsia="zh-CN"/>
              </w:rPr>
              <w:t>能充分体现</w:t>
            </w:r>
            <w:r>
              <w:rPr>
                <w:rFonts w:ascii="宋体" w:eastAsia="宋体" w:hAnsi="宋体" w:cs="宋体" w:hint="eastAsia"/>
                <w:sz w:val="21"/>
                <w:szCs w:val="21"/>
                <w:lang w:val="en-US" w:eastAsia="zh-CN"/>
              </w:rPr>
              <w:t>该设备用途</w:t>
            </w:r>
            <w:r>
              <w:rPr>
                <w:rFonts w:ascii="宋体" w:eastAsia="宋体" w:hAnsi="宋体" w:cs="宋体" w:hint="eastAsia"/>
                <w:sz w:val="21"/>
                <w:szCs w:val="21"/>
                <w:lang w:eastAsia="zh-CN"/>
              </w:rPr>
              <w:t>的相关证明材料</w:t>
            </w:r>
            <w:r>
              <w:rPr>
                <w:rFonts w:ascii="宋体" w:eastAsia="宋体" w:hAnsi="宋体" w:cs="宋体" w:hint="eastAsia"/>
                <w:sz w:val="21"/>
                <w:szCs w:val="21"/>
                <w:lang w:val="en-US" w:eastAsia="zh-CN"/>
              </w:rPr>
              <w:t>也符合得分要求</w:t>
            </w:r>
            <w:r>
              <w:rPr>
                <w:rFonts w:ascii="宋体" w:eastAsia="宋体" w:hAnsi="宋体" w:cs="宋体" w:hint="eastAsia"/>
                <w:sz w:val="21"/>
                <w:szCs w:val="21"/>
              </w:rPr>
              <w:t>；</w:t>
            </w:r>
          </w:p>
          <w:p>
            <w:pPr>
              <w:pStyle w:val="a"/>
              <w:keepNext w:val="0"/>
              <w:keepLines w:val="0"/>
              <w:pageBreakBefore w:val="0"/>
              <w:kinsoku/>
              <w:wordWrap/>
              <w:overflowPunct/>
              <w:topLinePunct w:val="0"/>
              <w:bidi w:val="0"/>
              <w:spacing w:before="0" w:after="0"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2.提供以上证明文件扫描件，如涉及网站截图或照片等证明材料,需提供清晰图片,原件备查。未按要求提供有效证明材料或提供不清晰导致评委无法识别的不计得分。</w:t>
            </w:r>
          </w:p>
        </w:tc>
      </w:tr>
      <w:tr>
        <w:tblPrEx>
          <w:tblW w:w="9639" w:type="dxa"/>
          <w:jc w:val="center"/>
          <w:tblLayout w:type="fixed"/>
          <w:tblCellMar>
            <w:top w:w="20" w:type="dxa"/>
            <w:left w:w="108" w:type="dxa"/>
            <w:bottom w:w="20" w:type="dxa"/>
            <w:right w:w="108" w:type="dxa"/>
          </w:tblCellMar>
        </w:tblPrEx>
        <w:trPr>
          <w:jc w:val="center"/>
        </w:trPr>
        <w:tc>
          <w:tcPr>
            <w:tcW w:w="680" w:type="dxa"/>
            <w:vMerge w:val="restart"/>
            <w:tcBorders>
              <w:top w:val="single" w:sz="8" w:space="0" w:color="000000"/>
              <w:left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b/>
                <w:bCs/>
                <w:color w:val="0000FF"/>
                <w:sz w:val="21"/>
                <w:szCs w:val="21"/>
              </w:rPr>
            </w:pPr>
            <w:r>
              <w:rPr>
                <w:rFonts w:ascii="宋体" w:eastAsia="宋体" w:hAnsi="宋体" w:cs="宋体" w:hint="eastAsia"/>
                <w:b/>
                <w:bCs/>
                <w:color w:val="0000FF"/>
                <w:sz w:val="21"/>
                <w:szCs w:val="21"/>
              </w:rPr>
              <w:t>3</w:t>
            </w:r>
          </w:p>
        </w:tc>
        <w:tc>
          <w:tcPr>
            <w:tcW w:w="4196" w:type="dxa"/>
            <w:gridSpan w:val="3"/>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b/>
                <w:bCs/>
                <w:color w:val="0000FF"/>
                <w:sz w:val="21"/>
                <w:szCs w:val="21"/>
                <w:lang w:val="en-US" w:eastAsia="zh-CN"/>
              </w:rPr>
            </w:pPr>
            <w:r>
              <w:rPr>
                <w:rFonts w:ascii="宋体" w:eastAsia="宋体" w:hAnsi="宋体" w:cs="宋体" w:hint="eastAsia"/>
                <w:b/>
                <w:bCs/>
                <w:color w:val="0000FF"/>
                <w:sz w:val="21"/>
                <w:szCs w:val="21"/>
                <w:lang w:val="en-US" w:eastAsia="zh-CN"/>
              </w:rPr>
              <w:t>商务</w:t>
            </w:r>
          </w:p>
        </w:tc>
        <w:tc>
          <w:tcPr>
            <w:tcW w:w="4763"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b/>
                <w:bCs/>
                <w:color w:val="0000FF"/>
                <w:sz w:val="21"/>
                <w:szCs w:val="21"/>
                <w:lang w:val="en-US" w:eastAsia="zh-CN"/>
              </w:rPr>
            </w:pPr>
            <w:r>
              <w:rPr>
                <w:rFonts w:ascii="宋体" w:eastAsia="宋体" w:hAnsi="宋体" w:cs="宋体" w:hint="eastAsia"/>
                <w:b/>
                <w:bCs/>
                <w:color w:val="0000FF"/>
                <w:sz w:val="21"/>
                <w:szCs w:val="21"/>
                <w:lang w:val="en-US" w:eastAsia="zh-CN"/>
              </w:rPr>
              <w:t>25</w:t>
            </w:r>
          </w:p>
        </w:tc>
      </w:tr>
      <w:tr>
        <w:tblPrEx>
          <w:tblW w:w="9639" w:type="dxa"/>
          <w:jc w:val="center"/>
          <w:tblLayout w:type="fixed"/>
          <w:tblCellMar>
            <w:top w:w="20" w:type="dxa"/>
            <w:left w:w="108" w:type="dxa"/>
            <w:bottom w:w="20" w:type="dxa"/>
            <w:right w:w="108" w:type="dxa"/>
          </w:tblCellMar>
        </w:tblPrEx>
        <w:trPr>
          <w:jc w:val="center"/>
        </w:trPr>
        <w:tc>
          <w:tcPr>
            <w:tcW w:w="680" w:type="dxa"/>
            <w:vMerge/>
            <w:tcBorders>
              <w:left w:val="single" w:sz="8" w:space="0" w:color="000000"/>
              <w:right w:val="single" w:sz="8" w:space="0" w:color="000000"/>
            </w:tcBorders>
            <w:vAlign w:val="center"/>
          </w:tcPr>
          <w:p>
            <w:pPr>
              <w:keepNext w:val="0"/>
              <w:keepLines w:val="0"/>
              <w:pageBreakBefore w:val="0"/>
              <w:kinsoku/>
              <w:wordWrap/>
              <w:overflowPunct/>
              <w:topLinePunct w:val="0"/>
              <w:bidi w:val="0"/>
              <w:spacing w:line="360" w:lineRule="auto"/>
              <w:textAlignment w:val="auto"/>
              <w:rPr>
                <w:rFonts w:ascii="宋体" w:eastAsia="宋体" w:hAnsi="宋体" w:cs="宋体" w:hint="eastAsia"/>
                <w:b/>
                <w:bCs/>
                <w:color w:val="0000FF"/>
                <w:sz w:val="21"/>
                <w:szCs w:val="21"/>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权重(%)</w:t>
            </w:r>
          </w:p>
        </w:tc>
        <w:tc>
          <w:tcPr>
            <w:tcW w:w="4763"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评分准则</w:t>
            </w:r>
          </w:p>
        </w:tc>
      </w:tr>
      <w:tr>
        <w:tblPrEx>
          <w:tblW w:w="9639" w:type="dxa"/>
          <w:jc w:val="center"/>
          <w:tblLayout w:type="fixed"/>
          <w:tblCellMar>
            <w:top w:w="20" w:type="dxa"/>
            <w:left w:w="108" w:type="dxa"/>
            <w:bottom w:w="20" w:type="dxa"/>
            <w:right w:w="108" w:type="dxa"/>
          </w:tblCellMar>
        </w:tblPrEx>
        <w:trPr>
          <w:trHeight w:val="685"/>
          <w:jc w:val="center"/>
        </w:trPr>
        <w:tc>
          <w:tcPr>
            <w:tcW w:w="680" w:type="dxa"/>
            <w:vMerge/>
            <w:tcBorders>
              <w:left w:val="single" w:sz="8" w:space="0" w:color="000000"/>
              <w:right w:val="single" w:sz="8" w:space="0" w:color="000000"/>
            </w:tcBorders>
            <w:vAlign w:val="center"/>
          </w:tcPr>
          <w:p>
            <w:pPr>
              <w:keepNext w:val="0"/>
              <w:keepLines w:val="0"/>
              <w:pageBreakBefore w:val="0"/>
              <w:kinsoku/>
              <w:wordWrap/>
              <w:overflowPunct/>
              <w:topLinePunct w:val="0"/>
              <w:bidi w:val="0"/>
              <w:spacing w:line="360" w:lineRule="auto"/>
              <w:textAlignment w:val="auto"/>
              <w:rPr>
                <w:rFonts w:ascii="宋体" w:eastAsia="宋体" w:hAnsi="宋体" w:cs="宋体" w:hint="eastAsia"/>
                <w:b/>
                <w:bCs/>
                <w:color w:val="0000FF"/>
                <w:sz w:val="21"/>
                <w:szCs w:val="21"/>
              </w:rPr>
            </w:pPr>
          </w:p>
        </w:tc>
        <w:tc>
          <w:tcPr>
            <w:tcW w:w="680"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1</w:t>
            </w:r>
          </w:p>
        </w:tc>
        <w:tc>
          <w:tcPr>
            <w:tcW w:w="2835"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rPr>
            </w:pPr>
            <w:r>
              <w:rPr>
                <w:rFonts w:ascii="宋体" w:eastAsia="宋体" w:hAnsi="宋体" w:cs="宋体" w:hint="eastAsia"/>
                <w:sz w:val="21"/>
                <w:szCs w:val="21"/>
              </w:rPr>
              <w:t>认证情况</w:t>
            </w:r>
          </w:p>
        </w:tc>
        <w:tc>
          <w:tcPr>
            <w:tcW w:w="681"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lang w:val="en-US" w:eastAsia="zh-CN"/>
              </w:rPr>
            </w:pPr>
            <w:r>
              <w:rPr>
                <w:rFonts w:ascii="宋体" w:eastAsia="宋体" w:hAnsi="宋体" w:cs="宋体" w:hint="eastAsia"/>
                <w:sz w:val="21"/>
                <w:szCs w:val="21"/>
                <w:highlight w:val="none"/>
                <w:lang w:val="en-US" w:eastAsia="zh-CN"/>
              </w:rPr>
              <w:t xml:space="preserve"> 3</w:t>
            </w:r>
          </w:p>
        </w:tc>
        <w:tc>
          <w:tcPr>
            <w:tcW w:w="4763"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rPr>
            </w:pPr>
            <w:r>
              <w:rPr>
                <w:rFonts w:ascii="宋体" w:eastAsia="宋体" w:hAnsi="宋体" w:cs="宋体" w:hint="eastAsia"/>
                <w:sz w:val="21"/>
                <w:szCs w:val="21"/>
              </w:rPr>
              <w:t>（一）评分内容：</w:t>
            </w: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kern w:val="0"/>
                <w:sz w:val="21"/>
                <w:szCs w:val="21"/>
              </w:rPr>
              <w:t>投标人具有质量体系认证证书、环境管理体系证证证书、职业健康安全管理体系认证证书以及安全风险管理体系认证证书的，每提供1个有效认证证书得25分，最高得100分。</w:t>
            </w: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kern w:val="0"/>
                <w:sz w:val="21"/>
                <w:szCs w:val="21"/>
              </w:rPr>
            </w:pPr>
          </w:p>
          <w:p>
            <w:pPr>
              <w:keepNext w:val="0"/>
              <w:keepLines w:val="0"/>
              <w:pageBreakBefore w:val="0"/>
              <w:widowControl/>
              <w:kinsoku/>
              <w:wordWrap/>
              <w:overflowPunct/>
              <w:topLinePunct w:val="0"/>
              <w:bidi w:val="0"/>
              <w:snapToGrid w:val="0"/>
              <w:spacing w:line="360" w:lineRule="auto"/>
              <w:jc w:val="left"/>
              <w:textAlignment w:val="auto"/>
              <w:rPr>
                <w:rFonts w:ascii="宋体" w:eastAsia="宋体" w:hAnsi="宋体" w:cs="宋体" w:hint="eastAsia"/>
                <w:kern w:val="0"/>
                <w:sz w:val="21"/>
                <w:szCs w:val="21"/>
              </w:rPr>
            </w:pPr>
            <w:r>
              <w:rPr>
                <w:rFonts w:ascii="宋体" w:eastAsia="宋体" w:hAnsi="宋体" w:cs="宋体" w:hint="eastAsia"/>
                <w:kern w:val="0"/>
                <w:sz w:val="21"/>
                <w:szCs w:val="21"/>
              </w:rPr>
              <w:t>（二）评分依据：</w:t>
            </w:r>
          </w:p>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rPr>
            </w:pPr>
            <w:r>
              <w:rPr>
                <w:rFonts w:ascii="宋体" w:eastAsia="宋体" w:hAnsi="宋体" w:cs="宋体" w:hint="eastAsia"/>
                <w:sz w:val="21"/>
                <w:szCs w:val="21"/>
              </w:rPr>
              <w:t>1.提供上述有效的认证证书及出具证书官网或全国认证认可信息公共服务平台（http://cx.cnca.cn/）的证书查询记录作为得分依据。认证证书在公开渠道无法查询的，需提供颁发机构的证明材料，证明证书真实有效；</w:t>
            </w:r>
          </w:p>
          <w:p>
            <w:pPr>
              <w:keepNext w:val="0"/>
              <w:keepLines w:val="0"/>
              <w:pageBreakBefore w:val="0"/>
              <w:kinsoku/>
              <w:wordWrap/>
              <w:overflowPunct/>
              <w:topLinePunct w:val="0"/>
              <w:bidi w:val="0"/>
              <w:spacing w:line="360" w:lineRule="auto"/>
              <w:jc w:val="left"/>
              <w:textAlignment w:val="auto"/>
              <w:rPr>
                <w:rFonts w:ascii="宋体" w:eastAsia="宋体" w:hAnsi="宋体" w:cs="宋体" w:hint="eastAsia"/>
                <w:sz w:val="21"/>
                <w:szCs w:val="21"/>
              </w:rPr>
            </w:pPr>
            <w:r>
              <w:rPr>
                <w:rFonts w:ascii="宋体" w:eastAsia="宋体" w:hAnsi="宋体" w:cs="宋体" w:hint="eastAsia"/>
                <w:sz w:val="21"/>
                <w:szCs w:val="21"/>
              </w:rPr>
              <w:t>2.</w:t>
            </w:r>
            <w:r>
              <w:rPr>
                <w:rFonts w:ascii="宋体" w:eastAsia="宋体" w:hAnsi="宋体" w:cs="宋体" w:hint="eastAsia"/>
                <w:kern w:val="0"/>
                <w:sz w:val="21"/>
                <w:szCs w:val="21"/>
              </w:rPr>
              <w:t>提供</w:t>
            </w:r>
            <w:r>
              <w:rPr>
                <w:rFonts w:ascii="宋体" w:eastAsia="宋体" w:hAnsi="宋体" w:cs="宋体" w:hint="eastAsia"/>
                <w:sz w:val="21"/>
                <w:szCs w:val="21"/>
              </w:rPr>
              <w:t>以上证明文件</w:t>
            </w:r>
            <w:r>
              <w:rPr>
                <w:rFonts w:ascii="宋体" w:eastAsia="宋体" w:hAnsi="宋体" w:cs="宋体" w:hint="eastAsia"/>
                <w:kern w:val="0"/>
                <w:sz w:val="21"/>
                <w:szCs w:val="21"/>
              </w:rPr>
              <w:t>扫描件，</w:t>
            </w:r>
            <w:r>
              <w:rPr>
                <w:rFonts w:ascii="宋体" w:eastAsia="宋体" w:hAnsi="宋体" w:cs="宋体" w:hint="eastAsia"/>
                <w:sz w:val="21"/>
                <w:szCs w:val="21"/>
              </w:rPr>
              <w:t>如涉及网站截图或照片等证明材料,需提供清晰图片,</w:t>
            </w:r>
            <w:r>
              <w:rPr>
                <w:rFonts w:ascii="宋体" w:eastAsia="宋体" w:hAnsi="宋体" w:cs="宋体" w:hint="eastAsia"/>
                <w:kern w:val="0"/>
                <w:sz w:val="21"/>
                <w:szCs w:val="21"/>
              </w:rPr>
              <w:t>原件备查</w:t>
            </w:r>
            <w:r>
              <w:rPr>
                <w:rFonts w:ascii="宋体" w:eastAsia="宋体" w:hAnsi="宋体" w:cs="宋体" w:hint="eastAsia"/>
                <w:sz w:val="21"/>
                <w:szCs w:val="21"/>
              </w:rPr>
              <w:t>。未按要求提供有效证明材料或提供不清晰导致评委无法识别的不计得分。</w:t>
            </w:r>
          </w:p>
        </w:tc>
      </w:tr>
      <w:tr>
        <w:tblPrEx>
          <w:tblW w:w="9639" w:type="dxa"/>
          <w:jc w:val="center"/>
          <w:tblLayout w:type="fixed"/>
          <w:tblCellMar>
            <w:top w:w="20" w:type="dxa"/>
            <w:left w:w="108" w:type="dxa"/>
            <w:bottom w:w="20" w:type="dxa"/>
            <w:right w:w="108" w:type="dxa"/>
          </w:tblCellMar>
        </w:tblPrEx>
        <w:trPr>
          <w:trHeight w:val="90"/>
          <w:jc w:val="center"/>
        </w:trPr>
        <w:tc>
          <w:tcPr>
            <w:tcW w:w="680" w:type="dxa"/>
            <w:vMerge/>
            <w:tcBorders>
              <w:left w:val="single" w:sz="8" w:space="0" w:color="000000"/>
              <w:right w:val="single" w:sz="8" w:space="0" w:color="000000"/>
            </w:tcBorders>
            <w:vAlign w:val="center"/>
          </w:tcPr>
          <w:p>
            <w:pPr>
              <w:keepNext w:val="0"/>
              <w:keepLines w:val="0"/>
              <w:pageBreakBefore w:val="0"/>
              <w:kinsoku/>
              <w:wordWrap/>
              <w:overflowPunct/>
              <w:topLinePunct w:val="0"/>
              <w:bidi w:val="0"/>
              <w:spacing w:line="360" w:lineRule="auto"/>
              <w:textAlignment w:val="auto"/>
              <w:rPr>
                <w:rFonts w:ascii="宋体" w:eastAsia="宋体" w:hAnsi="宋体" w:cs="宋体" w:hint="eastAsia"/>
                <w:b/>
                <w:bCs/>
                <w:color w:val="0000FF"/>
                <w:sz w:val="21"/>
                <w:szCs w:val="21"/>
              </w:rPr>
            </w:pPr>
          </w:p>
        </w:tc>
        <w:tc>
          <w:tcPr>
            <w:tcW w:w="680"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2</w:t>
            </w:r>
          </w:p>
        </w:tc>
        <w:tc>
          <w:tcPr>
            <w:tcW w:w="2835"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rPr>
            </w:pPr>
            <w:r>
              <w:rPr>
                <w:rFonts w:ascii="宋体" w:eastAsia="宋体" w:hAnsi="宋体" w:cs="宋体" w:hint="eastAsia"/>
                <w:sz w:val="21"/>
                <w:szCs w:val="21"/>
              </w:rPr>
              <w:t>同类项目业绩情况</w:t>
            </w:r>
          </w:p>
        </w:tc>
        <w:tc>
          <w:tcPr>
            <w:tcW w:w="681"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 xml:space="preserve"> </w:t>
            </w:r>
            <w:r>
              <w:rPr>
                <w:rFonts w:ascii="宋体" w:eastAsia="宋体" w:hAnsi="宋体" w:cs="宋体" w:hint="eastAsia"/>
                <w:sz w:val="21"/>
                <w:szCs w:val="21"/>
                <w:highlight w:val="none"/>
                <w:lang w:val="en-US" w:eastAsia="zh-CN"/>
              </w:rPr>
              <w:t>10</w:t>
            </w:r>
          </w:p>
        </w:tc>
        <w:tc>
          <w:tcPr>
            <w:tcW w:w="4763"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rPr>
            </w:pPr>
            <w:r>
              <w:rPr>
                <w:rFonts w:ascii="宋体" w:eastAsia="宋体" w:hAnsi="宋体" w:cs="宋体" w:hint="eastAsia"/>
                <w:sz w:val="21"/>
                <w:szCs w:val="21"/>
              </w:rPr>
              <w:t xml:space="preserve">（一）评分内容： </w:t>
            </w:r>
          </w:p>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rPr>
            </w:pPr>
            <w:r>
              <w:rPr>
                <w:rFonts w:ascii="宋体" w:eastAsia="宋体" w:hAnsi="宋体" w:cs="宋体" w:hint="eastAsia"/>
                <w:b w:val="0"/>
                <w:bCs w:val="0"/>
                <w:sz w:val="21"/>
                <w:szCs w:val="21"/>
                <w:highlight w:val="none"/>
                <w:lang w:val="en-US" w:eastAsia="zh-CN"/>
              </w:rPr>
              <w:t>2021年1月1日至本项目投标截止日（</w:t>
            </w:r>
            <w:r>
              <w:rPr>
                <w:rFonts w:ascii="宋体" w:eastAsia="宋体" w:hAnsi="宋体" w:cs="宋体" w:hint="eastAsia"/>
                <w:b w:val="0"/>
                <w:bCs w:val="0"/>
                <w:sz w:val="21"/>
                <w:szCs w:val="21"/>
                <w:highlight w:val="none"/>
              </w:rPr>
              <w:t>以项目验收或履约评价时间为准</w:t>
            </w:r>
            <w:r>
              <w:rPr>
                <w:rFonts w:ascii="宋体" w:eastAsia="宋体" w:hAnsi="宋体" w:cs="宋体" w:hint="eastAsia"/>
                <w:b w:val="0"/>
                <w:bCs w:val="0"/>
                <w:sz w:val="21"/>
                <w:szCs w:val="21"/>
                <w:highlight w:val="none"/>
                <w:lang w:eastAsia="zh-CN"/>
              </w:rPr>
              <w:t>），</w:t>
            </w:r>
            <w:r>
              <w:rPr>
                <w:rFonts w:ascii="宋体" w:eastAsia="宋体" w:hAnsi="宋体" w:cs="宋体" w:hint="eastAsia"/>
                <w:b w:val="0"/>
                <w:bCs w:val="0"/>
                <w:sz w:val="21"/>
                <w:szCs w:val="21"/>
                <w:highlight w:val="none"/>
                <w:lang w:val="en-US" w:eastAsia="zh-CN"/>
              </w:rPr>
              <w:t>投标人具有</w:t>
            </w:r>
            <w:r>
              <w:rPr>
                <w:rFonts w:ascii="宋体" w:eastAsia="宋体" w:hAnsi="宋体" w:cs="宋体" w:hint="eastAsia"/>
                <w:b w:val="0"/>
                <w:bCs w:val="0"/>
                <w:sz w:val="21"/>
                <w:szCs w:val="21"/>
                <w:highlight w:val="none"/>
              </w:rPr>
              <w:t>包含10kV或以上设施</w:t>
            </w:r>
            <w:r>
              <w:rPr>
                <w:rFonts w:ascii="宋体" w:eastAsia="宋体" w:hAnsi="宋体" w:cs="宋体" w:hint="eastAsia"/>
                <w:b w:val="0"/>
                <w:bCs w:val="0"/>
                <w:sz w:val="21"/>
                <w:szCs w:val="21"/>
                <w:highlight w:val="none"/>
                <w:lang w:val="en-US" w:eastAsia="zh-CN"/>
              </w:rPr>
              <w:t>维护相关</w:t>
            </w:r>
            <w:r>
              <w:rPr>
                <w:rFonts w:ascii="宋体" w:eastAsia="宋体" w:hAnsi="宋体" w:cs="宋体" w:hint="eastAsia"/>
                <w:b w:val="0"/>
                <w:bCs w:val="0"/>
                <w:sz w:val="21"/>
                <w:szCs w:val="21"/>
                <w:highlight w:val="none"/>
              </w:rPr>
              <w:t>内容</w:t>
            </w:r>
            <w:r>
              <w:rPr>
                <w:rFonts w:ascii="宋体" w:eastAsia="宋体" w:hAnsi="宋体" w:cs="宋体" w:hint="eastAsia"/>
                <w:b w:val="0"/>
                <w:bCs w:val="0"/>
                <w:sz w:val="21"/>
                <w:szCs w:val="21"/>
                <w:highlight w:val="none"/>
                <w:lang w:val="en-US" w:eastAsia="zh-CN"/>
              </w:rPr>
              <w:t>的</w:t>
            </w:r>
            <w:r>
              <w:rPr>
                <w:rFonts w:ascii="宋体" w:eastAsia="宋体" w:hAnsi="宋体" w:cs="宋体" w:hint="eastAsia"/>
                <w:b w:val="0"/>
                <w:bCs w:val="0"/>
                <w:sz w:val="21"/>
                <w:szCs w:val="21"/>
                <w:highlight w:val="none"/>
              </w:rPr>
              <w:t>维护项目</w:t>
            </w:r>
            <w:r>
              <w:rPr>
                <w:rFonts w:ascii="宋体" w:eastAsia="宋体" w:hAnsi="宋体" w:cs="宋体" w:hint="eastAsia"/>
                <w:b w:val="0"/>
                <w:bCs w:val="0"/>
                <w:sz w:val="21"/>
                <w:szCs w:val="21"/>
                <w:highlight w:val="none"/>
                <w:lang w:val="en-US" w:eastAsia="zh-CN"/>
              </w:rPr>
              <w:t>或</w:t>
            </w:r>
            <w:r>
              <w:rPr>
                <w:rFonts w:ascii="宋体" w:eastAsia="宋体" w:hAnsi="宋体" w:cs="宋体" w:hint="eastAsia"/>
                <w:b w:val="0"/>
                <w:bCs w:val="0"/>
                <w:sz w:val="21"/>
                <w:szCs w:val="21"/>
                <w:highlight w:val="none"/>
              </w:rPr>
              <w:t>10kV及以上电力工程施工项目</w:t>
            </w:r>
            <w:r>
              <w:rPr>
                <w:rFonts w:ascii="宋体" w:eastAsia="宋体" w:hAnsi="宋体" w:cs="宋体" w:hint="eastAsia"/>
                <w:b w:val="0"/>
                <w:bCs w:val="0"/>
                <w:sz w:val="21"/>
                <w:szCs w:val="21"/>
                <w:highlight w:val="none"/>
                <w:lang w:val="en-US" w:eastAsia="zh-CN"/>
              </w:rPr>
              <w:t>业绩的</w:t>
            </w:r>
            <w:r>
              <w:rPr>
                <w:rFonts w:ascii="宋体" w:eastAsia="宋体" w:hAnsi="宋体" w:cs="宋体" w:hint="eastAsia"/>
                <w:b w:val="0"/>
                <w:bCs w:val="0"/>
                <w:sz w:val="21"/>
                <w:szCs w:val="21"/>
                <w:highlight w:val="none"/>
                <w:lang w:eastAsia="zh-CN"/>
              </w:rPr>
              <w:t>，</w:t>
            </w:r>
            <w:r>
              <w:rPr>
                <w:rFonts w:ascii="宋体" w:eastAsia="宋体" w:hAnsi="宋体" w:cs="宋体" w:hint="eastAsia"/>
                <w:b w:val="0"/>
                <w:bCs w:val="0"/>
                <w:sz w:val="21"/>
                <w:szCs w:val="21"/>
                <w:highlight w:val="none"/>
                <w:lang w:val="en-US" w:eastAsia="zh-CN"/>
              </w:rPr>
              <w:t>且项目</w:t>
            </w:r>
            <w:r>
              <w:rPr>
                <w:rFonts w:ascii="宋体" w:eastAsia="宋体" w:hAnsi="宋体" w:cs="宋体" w:hint="eastAsia"/>
                <w:b w:val="0"/>
                <w:bCs w:val="0"/>
                <w:sz w:val="21"/>
                <w:szCs w:val="21"/>
                <w:highlight w:val="none"/>
              </w:rPr>
              <w:t>验收合格或履约评价结果为“优”或“满意”或评价中最高等级（以评分作为评价结果的不予计算）</w:t>
            </w:r>
            <w:r>
              <w:rPr>
                <w:rFonts w:ascii="宋体" w:eastAsia="宋体" w:hAnsi="宋体" w:cs="宋体" w:hint="eastAsia"/>
                <w:b w:val="0"/>
                <w:bCs w:val="0"/>
                <w:sz w:val="21"/>
                <w:szCs w:val="21"/>
                <w:highlight w:val="none"/>
                <w:lang w:eastAsia="zh-CN"/>
              </w:rPr>
              <w:t>，</w:t>
            </w:r>
            <w:r>
              <w:rPr>
                <w:rFonts w:ascii="宋体" w:eastAsia="宋体" w:hAnsi="宋体" w:cs="宋体" w:hint="eastAsia"/>
                <w:b w:val="0"/>
                <w:bCs w:val="0"/>
                <w:sz w:val="21"/>
                <w:szCs w:val="21"/>
                <w:highlight w:val="none"/>
              </w:rPr>
              <w:t>每提供</w:t>
            </w:r>
            <w:r>
              <w:rPr>
                <w:rFonts w:ascii="宋体" w:eastAsia="宋体" w:hAnsi="宋体" w:cs="宋体" w:hint="eastAsia"/>
                <w:b w:val="0"/>
                <w:bCs w:val="0"/>
                <w:sz w:val="21"/>
                <w:szCs w:val="21"/>
                <w:highlight w:val="none"/>
                <w:lang w:val="en-US" w:eastAsia="zh-CN"/>
              </w:rPr>
              <w:t>上述</w:t>
            </w:r>
            <w:r>
              <w:rPr>
                <w:rFonts w:ascii="宋体" w:eastAsia="宋体" w:hAnsi="宋体" w:cs="宋体" w:hint="eastAsia"/>
                <w:b w:val="0"/>
                <w:bCs w:val="0"/>
                <w:sz w:val="21"/>
                <w:szCs w:val="21"/>
                <w:highlight w:val="none"/>
              </w:rPr>
              <w:t>1个</w:t>
            </w:r>
            <w:r>
              <w:rPr>
                <w:rFonts w:ascii="宋体" w:eastAsia="宋体" w:hAnsi="宋体" w:cs="宋体" w:hint="eastAsia"/>
                <w:b w:val="0"/>
                <w:bCs w:val="0"/>
                <w:sz w:val="21"/>
                <w:szCs w:val="21"/>
                <w:highlight w:val="none"/>
                <w:lang w:val="en-US" w:eastAsia="zh-CN"/>
              </w:rPr>
              <w:t>有效业绩</w:t>
            </w:r>
            <w:r>
              <w:rPr>
                <w:rFonts w:ascii="宋体" w:eastAsia="宋体" w:hAnsi="宋体" w:cs="宋体" w:hint="eastAsia"/>
                <w:b w:val="0"/>
                <w:bCs w:val="0"/>
                <w:sz w:val="21"/>
                <w:szCs w:val="21"/>
                <w:highlight w:val="none"/>
              </w:rPr>
              <w:t>得</w:t>
            </w:r>
            <w:r>
              <w:rPr>
                <w:rFonts w:ascii="宋体" w:eastAsia="宋体" w:hAnsi="宋体" w:cs="宋体" w:hint="eastAsia"/>
                <w:b w:val="0"/>
                <w:bCs w:val="0"/>
                <w:sz w:val="21"/>
                <w:szCs w:val="21"/>
                <w:highlight w:val="none"/>
                <w:lang w:val="en-US" w:eastAsia="zh-CN"/>
              </w:rPr>
              <w:t>20</w:t>
            </w:r>
            <w:r>
              <w:rPr>
                <w:rFonts w:ascii="宋体" w:eastAsia="宋体" w:hAnsi="宋体" w:cs="宋体" w:hint="eastAsia"/>
                <w:b w:val="0"/>
                <w:bCs w:val="0"/>
                <w:sz w:val="21"/>
                <w:szCs w:val="21"/>
                <w:highlight w:val="none"/>
              </w:rPr>
              <w:t>分</w:t>
            </w:r>
            <w:r>
              <w:rPr>
                <w:rFonts w:ascii="宋体" w:eastAsia="宋体" w:hAnsi="宋体" w:cs="宋体" w:hint="eastAsia"/>
                <w:b w:val="0"/>
                <w:bCs w:val="0"/>
                <w:sz w:val="21"/>
                <w:szCs w:val="21"/>
                <w:highlight w:val="none"/>
                <w:lang w:eastAsia="zh-CN"/>
              </w:rPr>
              <w:t>，</w:t>
            </w:r>
            <w:r>
              <w:rPr>
                <w:rFonts w:ascii="宋体" w:eastAsia="宋体" w:hAnsi="宋体" w:cs="宋体" w:hint="eastAsia"/>
                <w:b w:val="0"/>
                <w:bCs w:val="0"/>
                <w:sz w:val="21"/>
                <w:szCs w:val="21"/>
                <w:highlight w:val="none"/>
                <w:lang w:val="en-US" w:eastAsia="zh-CN"/>
              </w:rPr>
              <w:t>最高得100分。</w:t>
            </w:r>
          </w:p>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rPr>
            </w:pPr>
          </w:p>
          <w:p>
            <w:pPr>
              <w:keepNext w:val="0"/>
              <w:keepLines w:val="0"/>
              <w:pageBreakBefore w:val="0"/>
              <w:numPr>
                <w:ilvl w:val="0"/>
                <w:numId w:val="0"/>
              </w:numPr>
              <w:kinsoku/>
              <w:wordWrap/>
              <w:overflowPunct/>
              <w:topLinePunct w:val="0"/>
              <w:bidi w:val="0"/>
              <w:spacing w:line="360" w:lineRule="auto"/>
              <w:textAlignment w:val="auto"/>
              <w:rPr>
                <w:rFonts w:ascii="宋体" w:eastAsia="宋体" w:hAnsi="宋体" w:cs="宋体" w:hint="eastAsia"/>
                <w:sz w:val="21"/>
                <w:szCs w:val="21"/>
              </w:rPr>
            </w:pPr>
            <w:r>
              <w:rPr>
                <w:rFonts w:ascii="宋体" w:eastAsia="宋体" w:hAnsi="宋体" w:cs="宋体" w:hint="eastAsia"/>
                <w:kern w:val="2"/>
                <w:sz w:val="21"/>
                <w:szCs w:val="21"/>
                <w:lang w:val="en-US" w:eastAsia="zh-CN" w:bidi="ar-SA"/>
              </w:rPr>
              <w:t>（二）</w:t>
            </w:r>
            <w:r>
              <w:rPr>
                <w:rFonts w:ascii="宋体" w:eastAsia="宋体" w:hAnsi="宋体" w:cs="宋体" w:hint="eastAsia"/>
                <w:sz w:val="21"/>
                <w:szCs w:val="21"/>
              </w:rPr>
              <w:t>评分依据：</w:t>
            </w:r>
          </w:p>
          <w:p>
            <w:pPr>
              <w:pStyle w:val="a"/>
              <w:keepNext w:val="0"/>
              <w:keepLines w:val="0"/>
              <w:pageBreakBefore w:val="0"/>
              <w:kinsoku/>
              <w:wordWrap/>
              <w:overflowPunct/>
              <w:topLinePunct w:val="0"/>
              <w:bidi w:val="0"/>
              <w:spacing w:before="0" w:after="0" w:line="360" w:lineRule="auto"/>
              <w:textAlignment w:val="auto"/>
              <w:rPr>
                <w:rFonts w:ascii="宋体" w:eastAsia="宋体" w:hAnsi="宋体" w:cs="宋体" w:hint="eastAsia"/>
                <w:sz w:val="21"/>
                <w:szCs w:val="21"/>
              </w:rPr>
            </w:pPr>
            <w:r>
              <w:rPr>
                <w:rFonts w:ascii="宋体" w:eastAsia="宋体" w:hAnsi="宋体" w:cs="宋体" w:hint="eastAsia"/>
                <w:sz w:val="21"/>
                <w:szCs w:val="21"/>
              </w:rPr>
              <w:t>1.要求同时提供</w:t>
            </w:r>
            <w:r>
              <w:rPr>
                <w:rFonts w:ascii="宋体" w:eastAsia="宋体" w:hAnsi="宋体" w:cs="宋体" w:hint="eastAsia"/>
                <w:sz w:val="21"/>
                <w:szCs w:val="21"/>
                <w:lang w:val="en-US" w:eastAsia="zh-CN"/>
              </w:rPr>
              <w:t>上述项目的</w:t>
            </w:r>
            <w:r>
              <w:rPr>
                <w:rFonts w:ascii="宋体" w:eastAsia="宋体" w:hAnsi="宋体" w:cs="宋体" w:hint="eastAsia"/>
                <w:sz w:val="21"/>
                <w:szCs w:val="21"/>
              </w:rPr>
              <w:t>中标通知书、合同关键</w:t>
            </w:r>
            <w:r>
              <w:rPr>
                <w:rFonts w:ascii="宋体" w:eastAsia="宋体" w:hAnsi="宋体" w:cs="宋体" w:hint="eastAsia"/>
                <w:sz w:val="21"/>
                <w:szCs w:val="21"/>
                <w:lang w:val="en-US" w:eastAsia="zh-CN"/>
              </w:rPr>
              <w:t>页</w:t>
            </w:r>
            <w:r>
              <w:rPr>
                <w:rFonts w:ascii="宋体" w:eastAsia="宋体" w:hAnsi="宋体" w:cs="宋体" w:hint="eastAsia"/>
                <w:sz w:val="21"/>
                <w:szCs w:val="21"/>
              </w:rPr>
              <w:t>信息和项目履约（验收）证明文件作为得分依据；</w:t>
            </w:r>
          </w:p>
          <w:p>
            <w:pPr>
              <w:pStyle w:val="a"/>
              <w:keepNext w:val="0"/>
              <w:keepLines w:val="0"/>
              <w:pageBreakBefore w:val="0"/>
              <w:kinsoku/>
              <w:wordWrap/>
              <w:overflowPunct/>
              <w:topLinePunct w:val="0"/>
              <w:bidi w:val="0"/>
              <w:spacing w:before="0" w:after="0" w:line="360" w:lineRule="auto"/>
              <w:textAlignment w:val="auto"/>
              <w:rPr>
                <w:rFonts w:ascii="宋体" w:eastAsia="宋体" w:hAnsi="宋体" w:cs="宋体" w:hint="eastAsia"/>
                <w:sz w:val="21"/>
                <w:szCs w:val="21"/>
              </w:rPr>
            </w:pPr>
            <w:r>
              <w:rPr>
                <w:rFonts w:ascii="宋体" w:eastAsia="宋体" w:hAnsi="宋体" w:cs="宋体" w:hint="eastAsia"/>
                <w:sz w:val="21"/>
                <w:szCs w:val="21"/>
              </w:rPr>
              <w:t>2.通过合同关键信息无法判断是否得分的，还需同时提供能证明得分的其它证明资料，如项目报告或合同甲方出具的证明文件等；</w:t>
            </w:r>
          </w:p>
          <w:p>
            <w:pPr>
              <w:pStyle w:val="a"/>
              <w:keepNext w:val="0"/>
              <w:keepLines w:val="0"/>
              <w:pageBreakBefore w:val="0"/>
              <w:kinsoku/>
              <w:wordWrap/>
              <w:overflowPunct/>
              <w:topLinePunct w:val="0"/>
              <w:bidi w:val="0"/>
              <w:spacing w:before="0" w:after="0" w:line="360" w:lineRule="auto"/>
              <w:textAlignment w:val="auto"/>
              <w:rPr>
                <w:rFonts w:ascii="宋体" w:eastAsia="宋体" w:hAnsi="宋体" w:cs="宋体" w:hint="eastAsia"/>
                <w:sz w:val="21"/>
                <w:szCs w:val="21"/>
              </w:rPr>
            </w:pPr>
            <w:r>
              <w:rPr>
                <w:rFonts w:ascii="宋体" w:eastAsia="宋体" w:hAnsi="宋体" w:cs="宋体" w:hint="eastAsia"/>
                <w:sz w:val="21"/>
                <w:szCs w:val="21"/>
              </w:rPr>
              <w:t>3.提供以上证明文件扫描件，如涉及网站截图或照片等证明材料,需提供清晰图片,原件备查。未按要求提供有效证明材料或提供不清晰导致评委无法识别的不计得分。</w:t>
            </w:r>
          </w:p>
          <w:p>
            <w:pPr>
              <w:pStyle w:val="a"/>
              <w:keepNext w:val="0"/>
              <w:keepLines w:val="0"/>
              <w:pageBreakBefore w:val="0"/>
              <w:kinsoku/>
              <w:wordWrap/>
              <w:overflowPunct/>
              <w:topLinePunct w:val="0"/>
              <w:bidi w:val="0"/>
              <w:spacing w:before="0" w:after="0" w:line="360" w:lineRule="auto"/>
              <w:textAlignment w:val="auto"/>
              <w:rPr>
                <w:rFonts w:ascii="宋体" w:eastAsia="宋体" w:hAnsi="宋体" w:cs="宋体" w:hint="eastAsia"/>
                <w:sz w:val="21"/>
                <w:szCs w:val="21"/>
              </w:rPr>
            </w:pPr>
            <w:r>
              <w:rPr>
                <w:rFonts w:ascii="宋体" w:eastAsia="宋体" w:hAnsi="宋体" w:cs="宋体" w:hint="eastAsia"/>
                <w:sz w:val="21"/>
                <w:szCs w:val="21"/>
              </w:rPr>
              <w:t>注：为便于评委评审，履约（验收）证明文件应附在 “同类项目业绩”证明文件后，每个项目对应一份履约（验收）证明</w:t>
            </w:r>
            <w:r>
              <w:rPr>
                <w:rFonts w:ascii="宋体" w:eastAsia="宋体" w:hAnsi="宋体" w:cs="宋体" w:hint="eastAsia"/>
                <w:sz w:val="21"/>
                <w:szCs w:val="21"/>
                <w:lang w:val="en-US" w:eastAsia="zh-CN"/>
              </w:rPr>
              <w:t>文件</w:t>
            </w:r>
            <w:r>
              <w:rPr>
                <w:rFonts w:ascii="宋体" w:eastAsia="宋体" w:hAnsi="宋体" w:cs="宋体" w:hint="eastAsia"/>
                <w:sz w:val="21"/>
                <w:szCs w:val="21"/>
              </w:rPr>
              <w:t>。</w:t>
            </w:r>
          </w:p>
        </w:tc>
      </w:tr>
      <w:tr>
        <w:tblPrEx>
          <w:tblW w:w="9639" w:type="dxa"/>
          <w:jc w:val="center"/>
          <w:tblLayout w:type="fixed"/>
          <w:tblCellMar>
            <w:top w:w="20" w:type="dxa"/>
            <w:left w:w="108" w:type="dxa"/>
            <w:bottom w:w="20" w:type="dxa"/>
            <w:right w:w="108" w:type="dxa"/>
          </w:tblCellMar>
        </w:tblPrEx>
        <w:trPr>
          <w:trHeight w:val="794"/>
          <w:jc w:val="center"/>
        </w:trPr>
        <w:tc>
          <w:tcPr>
            <w:tcW w:w="680" w:type="dxa"/>
            <w:vMerge/>
            <w:tcBorders>
              <w:left w:val="single" w:sz="8" w:space="0" w:color="000000"/>
              <w:right w:val="single" w:sz="8" w:space="0" w:color="000000"/>
            </w:tcBorders>
            <w:vAlign w:val="center"/>
          </w:tcPr>
          <w:p>
            <w:pPr>
              <w:keepNext w:val="0"/>
              <w:keepLines w:val="0"/>
              <w:pageBreakBefore w:val="0"/>
              <w:kinsoku/>
              <w:wordWrap/>
              <w:overflowPunct/>
              <w:topLinePunct w:val="0"/>
              <w:bidi w:val="0"/>
              <w:spacing w:line="360" w:lineRule="auto"/>
              <w:textAlignment w:val="auto"/>
              <w:rPr>
                <w:rFonts w:ascii="宋体" w:eastAsia="宋体" w:hAnsi="宋体" w:cs="宋体" w:hint="eastAsia"/>
                <w:b/>
                <w:bCs/>
                <w:color w:val="0000FF"/>
                <w:sz w:val="21"/>
                <w:szCs w:val="21"/>
              </w:rPr>
            </w:pPr>
          </w:p>
        </w:tc>
        <w:tc>
          <w:tcPr>
            <w:tcW w:w="680"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3</w:t>
            </w:r>
          </w:p>
        </w:tc>
        <w:tc>
          <w:tcPr>
            <w:tcW w:w="2835"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lang w:eastAsia="zh-CN"/>
              </w:rPr>
            </w:pPr>
            <w:r>
              <w:rPr>
                <w:rFonts w:ascii="宋体" w:eastAsia="宋体" w:hAnsi="宋体" w:cs="宋体" w:hint="eastAsia"/>
                <w:sz w:val="21"/>
                <w:szCs w:val="21"/>
              </w:rPr>
              <w:t>获奖情况</w:t>
            </w:r>
          </w:p>
        </w:tc>
        <w:tc>
          <w:tcPr>
            <w:tcW w:w="681"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lang w:val="en-US" w:eastAsia="zh-CN"/>
              </w:rPr>
            </w:pPr>
            <w:r>
              <w:rPr>
                <w:rFonts w:ascii="宋体" w:eastAsia="宋体" w:hAnsi="宋体" w:cs="宋体" w:hint="eastAsia"/>
                <w:sz w:val="21"/>
                <w:szCs w:val="21"/>
                <w:highlight w:val="none"/>
                <w:lang w:val="en-US" w:eastAsia="zh-CN"/>
              </w:rPr>
              <w:t>7</w:t>
            </w:r>
          </w:p>
        </w:tc>
        <w:tc>
          <w:tcPr>
            <w:tcW w:w="4763" w:type="dxa"/>
            <w:tcBorders>
              <w:top w:val="single" w:sz="8" w:space="0" w:color="000000"/>
              <w:left w:val="single" w:sz="8" w:space="0" w:color="000000"/>
              <w:bottom w:val="single" w:sz="8" w:space="0" w:color="000000"/>
              <w:right w:val="single" w:sz="8" w:space="0" w:color="000000"/>
            </w:tcBorders>
          </w:tcPr>
          <w:p>
            <w:pPr>
              <w:pStyle w:val="a"/>
              <w:keepNext w:val="0"/>
              <w:keepLines w:val="0"/>
              <w:pageBreakBefore w:val="0"/>
              <w:kinsoku/>
              <w:wordWrap/>
              <w:overflowPunct/>
              <w:topLinePunct w:val="0"/>
              <w:bidi w:val="0"/>
              <w:spacing w:before="0" w:after="0" w:line="360" w:lineRule="auto"/>
              <w:textAlignment w:val="auto"/>
              <w:rPr>
                <w:rFonts w:ascii="宋体" w:eastAsia="宋体" w:hAnsi="宋体" w:cs="宋体" w:hint="eastAsia"/>
                <w:sz w:val="21"/>
                <w:szCs w:val="21"/>
              </w:rPr>
            </w:pPr>
            <w:r>
              <w:rPr>
                <w:rFonts w:ascii="宋体" w:eastAsia="宋体" w:hAnsi="宋体" w:cs="宋体" w:hint="eastAsia"/>
                <w:sz w:val="21"/>
                <w:szCs w:val="21"/>
              </w:rPr>
              <w:t>（一）评分内容：</w:t>
            </w:r>
          </w:p>
          <w:p>
            <w:pPr>
              <w:pStyle w:val="a"/>
              <w:keepNext w:val="0"/>
              <w:keepLines w:val="0"/>
              <w:pageBreakBefore w:val="0"/>
              <w:kinsoku/>
              <w:wordWrap/>
              <w:overflowPunct/>
              <w:topLinePunct w:val="0"/>
              <w:bidi w:val="0"/>
              <w:spacing w:before="0" w:after="0" w:line="360" w:lineRule="auto"/>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1</w:t>
            </w: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2021年1月1日至本项目投标截止日</w:t>
            </w:r>
            <w:r>
              <w:rPr>
                <w:rFonts w:ascii="宋体" w:eastAsia="宋体" w:hAnsi="宋体" w:cs="宋体" w:hint="eastAsia"/>
                <w:sz w:val="21"/>
                <w:szCs w:val="21"/>
              </w:rPr>
              <w:t>（以获奖证书落款日期为准），投标人获得维护项目（需包含10kV或以上供电设施</w:t>
            </w:r>
            <w:r>
              <w:rPr>
                <w:rFonts w:ascii="宋体" w:eastAsia="宋体" w:hAnsi="宋体" w:cs="宋体" w:hint="eastAsia"/>
                <w:sz w:val="21"/>
                <w:szCs w:val="21"/>
                <w:lang w:val="en-US" w:eastAsia="zh-CN"/>
              </w:rPr>
              <w:t>维护相关</w:t>
            </w:r>
            <w:r>
              <w:rPr>
                <w:rFonts w:ascii="宋体" w:eastAsia="宋体" w:hAnsi="宋体" w:cs="宋体" w:hint="eastAsia"/>
                <w:sz w:val="21"/>
                <w:szCs w:val="21"/>
              </w:rPr>
              <w:t>内容）</w:t>
            </w:r>
            <w:r>
              <w:rPr>
                <w:rFonts w:ascii="宋体" w:eastAsia="宋体" w:hAnsi="宋体" w:cs="宋体" w:hint="eastAsia"/>
                <w:sz w:val="21"/>
                <w:szCs w:val="21"/>
                <w:lang w:val="en-US" w:eastAsia="zh-CN"/>
              </w:rPr>
              <w:t>或</w:t>
            </w:r>
            <w:r>
              <w:rPr>
                <w:rFonts w:ascii="宋体" w:eastAsia="宋体" w:hAnsi="宋体" w:cs="宋体" w:hint="eastAsia"/>
                <w:sz w:val="21"/>
                <w:szCs w:val="21"/>
              </w:rPr>
              <w:t>10kV及以上电力工程施工相关奖项</w:t>
            </w:r>
            <w:r>
              <w:rPr>
                <w:rFonts w:ascii="宋体" w:eastAsia="宋体" w:hAnsi="宋体" w:cs="宋体" w:hint="eastAsia"/>
                <w:sz w:val="21"/>
                <w:szCs w:val="21"/>
                <w:lang w:val="en-US" w:eastAsia="zh-CN"/>
              </w:rPr>
              <w:t>的</w:t>
            </w:r>
            <w:r>
              <w:rPr>
                <w:rFonts w:ascii="宋体" w:eastAsia="宋体" w:hAnsi="宋体" w:cs="宋体" w:hint="eastAsia"/>
                <w:sz w:val="21"/>
                <w:szCs w:val="21"/>
                <w:lang w:eastAsia="zh-CN"/>
              </w:rPr>
              <w:t>，每提供一个</w:t>
            </w:r>
            <w:r>
              <w:rPr>
                <w:rFonts w:ascii="宋体" w:eastAsia="宋体" w:hAnsi="宋体" w:cs="宋体" w:hint="eastAsia"/>
                <w:sz w:val="21"/>
                <w:szCs w:val="21"/>
                <w:lang w:val="en-US" w:eastAsia="zh-CN"/>
              </w:rPr>
              <w:t>上述奖项且</w:t>
            </w:r>
            <w:r>
              <w:rPr>
                <w:rFonts w:ascii="宋体" w:eastAsia="宋体" w:hAnsi="宋体" w:cs="宋体" w:hint="eastAsia"/>
                <w:sz w:val="21"/>
                <w:szCs w:val="21"/>
              </w:rPr>
              <w:t>颁发单位</w:t>
            </w:r>
            <w:r>
              <w:rPr>
                <w:rFonts w:ascii="宋体" w:eastAsia="宋体" w:hAnsi="宋体" w:cs="宋体" w:hint="eastAsia"/>
                <w:sz w:val="21"/>
                <w:szCs w:val="21"/>
                <w:lang w:val="en-US" w:eastAsia="zh-CN"/>
              </w:rPr>
              <w:t>为副省级或以上城市</w:t>
            </w:r>
            <w:r>
              <w:rPr>
                <w:rFonts w:ascii="宋体" w:eastAsia="宋体" w:hAnsi="宋体" w:cs="宋体" w:hint="eastAsia"/>
                <w:sz w:val="21"/>
                <w:szCs w:val="21"/>
              </w:rPr>
              <w:t>行业协会（学会）</w:t>
            </w:r>
            <w:r>
              <w:rPr>
                <w:rFonts w:ascii="宋体" w:eastAsia="宋体" w:hAnsi="宋体" w:cs="宋体" w:hint="eastAsia"/>
                <w:sz w:val="21"/>
                <w:szCs w:val="21"/>
                <w:lang w:val="en-US" w:eastAsia="zh-CN"/>
              </w:rPr>
              <w:t>的得15分，本项累计最高得分60分</w:t>
            </w:r>
            <w:r>
              <w:rPr>
                <w:rFonts w:ascii="宋体" w:eastAsia="宋体" w:hAnsi="宋体" w:cs="宋体" w:hint="eastAsia"/>
                <w:sz w:val="21"/>
                <w:szCs w:val="21"/>
                <w:lang w:eastAsia="zh-CN"/>
              </w:rPr>
              <w:t>；</w:t>
            </w:r>
          </w:p>
          <w:p>
            <w:pPr>
              <w:pStyle w:val="a"/>
              <w:keepNext w:val="0"/>
              <w:keepLines w:val="0"/>
              <w:pageBreakBefore w:val="0"/>
              <w:kinsoku/>
              <w:wordWrap/>
              <w:overflowPunct/>
              <w:topLinePunct w:val="0"/>
              <w:bidi w:val="0"/>
              <w:spacing w:before="0" w:after="0" w:line="360" w:lineRule="auto"/>
              <w:textAlignment w:val="auto"/>
              <w:rPr>
                <w:rFonts w:ascii="宋体" w:eastAsia="宋体" w:hAnsi="宋体" w:cs="宋体" w:hint="eastAsia"/>
                <w:b w:val="0"/>
                <w:bCs w:val="0"/>
                <w:color w:val="auto"/>
                <w:sz w:val="21"/>
                <w:szCs w:val="21"/>
                <w:lang w:val="en-US" w:eastAsia="zh-CN"/>
              </w:rPr>
            </w:pP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2</w:t>
            </w: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2021年1月1日至本项目投标截止日</w:t>
            </w:r>
            <w:r>
              <w:rPr>
                <w:rFonts w:ascii="宋体" w:eastAsia="宋体" w:hAnsi="宋体" w:cs="宋体" w:hint="eastAsia"/>
                <w:sz w:val="21"/>
                <w:szCs w:val="21"/>
              </w:rPr>
              <w:t>（以</w:t>
            </w:r>
            <w:r>
              <w:rPr>
                <w:rFonts w:ascii="宋体" w:eastAsia="宋体" w:hAnsi="宋体" w:cs="宋体" w:hint="eastAsia"/>
                <w:sz w:val="21"/>
                <w:szCs w:val="21"/>
                <w:lang w:val="en-US" w:eastAsia="zh-CN"/>
              </w:rPr>
              <w:t>表彰文件</w:t>
            </w:r>
            <w:r>
              <w:rPr>
                <w:rFonts w:ascii="宋体" w:eastAsia="宋体" w:hAnsi="宋体" w:cs="宋体" w:hint="eastAsia"/>
                <w:sz w:val="21"/>
                <w:szCs w:val="21"/>
              </w:rPr>
              <w:t>落款日期为准）</w:t>
            </w: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投标人参与</w:t>
            </w:r>
            <w:r>
              <w:rPr>
                <w:rFonts w:ascii="宋体" w:eastAsia="宋体" w:hAnsi="宋体" w:cs="宋体" w:hint="eastAsia"/>
                <w:b w:val="0"/>
                <w:bCs w:val="0"/>
                <w:color w:val="auto"/>
                <w:sz w:val="21"/>
                <w:szCs w:val="21"/>
                <w:lang w:val="en-US" w:eastAsia="zh-CN"/>
              </w:rPr>
              <w:t>政府组织的重大应急抢险活动或重大活动保障工作获得政府表彰（</w:t>
            </w:r>
            <w:r>
              <w:rPr>
                <w:rFonts w:ascii="宋体" w:eastAsia="宋体" w:hAnsi="宋体" w:cs="宋体" w:hint="eastAsia"/>
                <w:sz w:val="21"/>
                <w:szCs w:val="21"/>
              </w:rPr>
              <w:t>奖项或荣誉证书或官方通告表扬</w:t>
            </w:r>
            <w:r>
              <w:rPr>
                <w:rFonts w:ascii="宋体" w:eastAsia="宋体" w:hAnsi="宋体" w:cs="宋体" w:hint="eastAsia"/>
                <w:b w:val="0"/>
                <w:bCs w:val="0"/>
                <w:color w:val="auto"/>
                <w:sz w:val="21"/>
                <w:szCs w:val="21"/>
                <w:lang w:val="en-US" w:eastAsia="zh-CN"/>
              </w:rPr>
              <w:t>）的，每提供一个表彰文件的得20分</w:t>
            </w:r>
            <w:r>
              <w:rPr>
                <w:rFonts w:ascii="宋体" w:eastAsia="宋体" w:hAnsi="宋体" w:cs="宋体" w:hint="eastAsia"/>
                <w:sz w:val="21"/>
                <w:szCs w:val="21"/>
                <w:lang w:val="en-US" w:eastAsia="zh-CN"/>
              </w:rPr>
              <w:t>，本项最高得分40分</w:t>
            </w:r>
            <w:r>
              <w:rPr>
                <w:rFonts w:ascii="宋体" w:eastAsia="宋体" w:hAnsi="宋体" w:cs="宋体" w:hint="eastAsia"/>
                <w:b w:val="0"/>
                <w:bCs w:val="0"/>
                <w:color w:val="auto"/>
                <w:sz w:val="21"/>
                <w:szCs w:val="21"/>
                <w:lang w:val="en-US" w:eastAsia="zh-CN"/>
              </w:rPr>
              <w:t>。</w:t>
            </w:r>
          </w:p>
          <w:p>
            <w:pPr>
              <w:pStyle w:val="a"/>
              <w:keepNext w:val="0"/>
              <w:keepLines w:val="0"/>
              <w:pageBreakBefore w:val="0"/>
              <w:kinsoku/>
              <w:wordWrap/>
              <w:overflowPunct/>
              <w:topLinePunct w:val="0"/>
              <w:bidi w:val="0"/>
              <w:spacing w:before="0" w:after="0" w:line="360" w:lineRule="auto"/>
              <w:textAlignment w:val="auto"/>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注：以上累计最高得100分。</w:t>
            </w:r>
          </w:p>
          <w:p>
            <w:pPr>
              <w:pStyle w:val="a"/>
              <w:keepNext w:val="0"/>
              <w:keepLines w:val="0"/>
              <w:pageBreakBefore w:val="0"/>
              <w:kinsoku/>
              <w:wordWrap/>
              <w:overflowPunct/>
              <w:topLinePunct w:val="0"/>
              <w:bidi w:val="0"/>
              <w:spacing w:before="0" w:after="0" w:line="360" w:lineRule="auto"/>
              <w:textAlignment w:val="auto"/>
              <w:rPr>
                <w:rFonts w:ascii="宋体" w:eastAsia="宋体" w:hAnsi="宋体" w:cs="宋体" w:hint="eastAsia"/>
                <w:sz w:val="21"/>
                <w:szCs w:val="21"/>
              </w:rPr>
            </w:pPr>
          </w:p>
          <w:p>
            <w:pPr>
              <w:pStyle w:val="a"/>
              <w:keepNext w:val="0"/>
              <w:keepLines w:val="0"/>
              <w:pageBreakBefore w:val="0"/>
              <w:kinsoku/>
              <w:wordWrap/>
              <w:overflowPunct/>
              <w:topLinePunct w:val="0"/>
              <w:bidi w:val="0"/>
              <w:spacing w:before="0" w:after="0" w:line="360" w:lineRule="auto"/>
              <w:textAlignment w:val="auto"/>
              <w:rPr>
                <w:rFonts w:ascii="宋体" w:eastAsia="宋体" w:hAnsi="宋体" w:cs="宋体" w:hint="eastAsia"/>
                <w:sz w:val="21"/>
                <w:szCs w:val="21"/>
              </w:rPr>
            </w:pPr>
            <w:r>
              <w:rPr>
                <w:rFonts w:ascii="宋体" w:eastAsia="宋体" w:hAnsi="宋体" w:cs="宋体" w:hint="eastAsia"/>
                <w:sz w:val="21"/>
                <w:szCs w:val="21"/>
              </w:rPr>
              <w:t>（二）评分依据：</w:t>
            </w:r>
          </w:p>
          <w:p>
            <w:pPr>
              <w:pStyle w:val="a"/>
              <w:keepNext w:val="0"/>
              <w:keepLines w:val="0"/>
              <w:pageBreakBefore w:val="0"/>
              <w:kinsoku/>
              <w:wordWrap/>
              <w:overflowPunct/>
              <w:topLinePunct w:val="0"/>
              <w:bidi w:val="0"/>
              <w:spacing w:before="0" w:after="0" w:line="360" w:lineRule="auto"/>
              <w:textAlignment w:val="auto"/>
              <w:rPr>
                <w:rFonts w:ascii="宋体" w:eastAsia="宋体" w:hAnsi="宋体" w:cs="宋体" w:hint="eastAsia"/>
                <w:sz w:val="21"/>
                <w:szCs w:val="21"/>
              </w:rPr>
            </w:pPr>
            <w:r>
              <w:rPr>
                <w:rFonts w:ascii="宋体" w:eastAsia="宋体" w:hAnsi="宋体" w:cs="宋体" w:hint="eastAsia"/>
                <w:sz w:val="21"/>
                <w:szCs w:val="21"/>
              </w:rPr>
              <w:t>1.上述评分内容第（1）要求提供奖项照片或获奖（荣誉）证书以及能充分体现项目特点的相关证明材料作为得分依据；</w:t>
            </w:r>
          </w:p>
          <w:p>
            <w:pPr>
              <w:pStyle w:val="a"/>
              <w:keepNext w:val="0"/>
              <w:keepLines w:val="0"/>
              <w:pageBreakBefore w:val="0"/>
              <w:kinsoku/>
              <w:wordWrap/>
              <w:overflowPunct/>
              <w:topLinePunct w:val="0"/>
              <w:bidi w:val="0"/>
              <w:spacing w:before="0" w:after="0" w:line="360" w:lineRule="auto"/>
              <w:textAlignment w:val="auto"/>
              <w:rPr>
                <w:rFonts w:ascii="宋体" w:eastAsia="宋体" w:hAnsi="宋体" w:cs="宋体" w:hint="eastAsia"/>
                <w:sz w:val="21"/>
                <w:szCs w:val="21"/>
                <w:lang w:val="en-US" w:eastAsia="zh-CN"/>
              </w:rPr>
            </w:pPr>
            <w:r>
              <w:rPr>
                <w:rFonts w:ascii="宋体" w:eastAsia="宋体" w:hAnsi="宋体" w:cs="宋体" w:hint="eastAsia"/>
                <w:sz w:val="21"/>
                <w:szCs w:val="21"/>
              </w:rPr>
              <w:t>2.</w:t>
            </w:r>
            <w:r>
              <w:rPr>
                <w:rFonts w:ascii="宋体" w:eastAsia="宋体" w:hAnsi="宋体" w:cs="宋体" w:hint="eastAsia"/>
                <w:sz w:val="21"/>
                <w:szCs w:val="21"/>
                <w:lang w:val="en-US" w:eastAsia="zh-CN"/>
              </w:rPr>
              <w:t>上述评分内容第（2）要求提供政府部门颁发的证书或感谢信</w:t>
            </w:r>
            <w:r>
              <w:rPr>
                <w:rFonts w:ascii="宋体" w:eastAsia="宋体" w:hAnsi="宋体" w:cs="宋体" w:hint="eastAsia"/>
                <w:sz w:val="21"/>
                <w:szCs w:val="21"/>
              </w:rPr>
              <w:t>以及能充分体现</w:t>
            </w:r>
            <w:r>
              <w:rPr>
                <w:rFonts w:ascii="宋体" w:eastAsia="宋体" w:hAnsi="宋体" w:cs="宋体" w:hint="eastAsia"/>
                <w:sz w:val="21"/>
                <w:szCs w:val="21"/>
                <w:lang w:val="en-US" w:eastAsia="zh-CN"/>
              </w:rPr>
              <w:t>工作</w:t>
            </w:r>
            <w:r>
              <w:rPr>
                <w:rFonts w:ascii="宋体" w:eastAsia="宋体" w:hAnsi="宋体" w:cs="宋体" w:hint="eastAsia"/>
                <w:sz w:val="21"/>
                <w:szCs w:val="21"/>
              </w:rPr>
              <w:t>特点的相关证明材料作为得分依据</w:t>
            </w:r>
            <w:r>
              <w:rPr>
                <w:rFonts w:ascii="宋体" w:eastAsia="宋体" w:hAnsi="宋体" w:cs="宋体" w:hint="eastAsia"/>
                <w:sz w:val="21"/>
                <w:szCs w:val="21"/>
                <w:lang w:eastAsia="zh-CN"/>
              </w:rPr>
              <w:t>；</w:t>
            </w:r>
          </w:p>
          <w:p>
            <w:pPr>
              <w:pStyle w:val="a"/>
              <w:keepNext w:val="0"/>
              <w:keepLines w:val="0"/>
              <w:pageBreakBefore w:val="0"/>
              <w:kinsoku/>
              <w:wordWrap/>
              <w:overflowPunct/>
              <w:topLinePunct w:val="0"/>
              <w:bidi w:val="0"/>
              <w:spacing w:before="0" w:after="0" w:line="360" w:lineRule="auto"/>
              <w:textAlignment w:val="auto"/>
              <w:rPr>
                <w:rFonts w:ascii="宋体" w:eastAsia="宋体" w:hAnsi="宋体" w:cs="宋体" w:hint="eastAsia"/>
                <w:sz w:val="21"/>
                <w:szCs w:val="21"/>
              </w:rPr>
            </w:pPr>
            <w:r>
              <w:rPr>
                <w:rFonts w:ascii="宋体" w:eastAsia="宋体" w:hAnsi="宋体" w:cs="宋体" w:hint="eastAsia"/>
                <w:sz w:val="21"/>
                <w:szCs w:val="21"/>
                <w:lang w:val="en-US" w:eastAsia="zh-CN"/>
              </w:rPr>
              <w:t>3</w:t>
            </w:r>
            <w:r>
              <w:rPr>
                <w:rFonts w:ascii="宋体" w:eastAsia="宋体" w:hAnsi="宋体" w:cs="宋体" w:hint="eastAsia"/>
                <w:sz w:val="21"/>
                <w:szCs w:val="21"/>
              </w:rPr>
              <w:t>.提供以上证明文件扫描件，如涉及网站截图或照片等证明材料,需提供清晰图片,原件备查。未按要求提供有效证明材料或提供不清晰导致评委无法识别的不计得分。</w:t>
            </w:r>
          </w:p>
        </w:tc>
      </w:tr>
      <w:tr>
        <w:tblPrEx>
          <w:tblW w:w="9639" w:type="dxa"/>
          <w:jc w:val="center"/>
          <w:tblLayout w:type="fixed"/>
          <w:tblCellMar>
            <w:top w:w="20" w:type="dxa"/>
            <w:left w:w="108" w:type="dxa"/>
            <w:bottom w:w="20" w:type="dxa"/>
            <w:right w:w="108" w:type="dxa"/>
          </w:tblCellMar>
        </w:tblPrEx>
        <w:trPr>
          <w:jc w:val="center"/>
        </w:trPr>
        <w:tc>
          <w:tcPr>
            <w:tcW w:w="680" w:type="dxa"/>
            <w:vMerge/>
            <w:tcBorders>
              <w:left w:val="single" w:sz="8" w:space="0" w:color="000000"/>
              <w:right w:val="single" w:sz="8" w:space="0" w:color="000000"/>
            </w:tcBorders>
            <w:vAlign w:val="center"/>
          </w:tcPr>
          <w:p>
            <w:pPr>
              <w:keepNext w:val="0"/>
              <w:keepLines w:val="0"/>
              <w:pageBreakBefore w:val="0"/>
              <w:kinsoku/>
              <w:wordWrap/>
              <w:overflowPunct/>
              <w:topLinePunct w:val="0"/>
              <w:bidi w:val="0"/>
              <w:spacing w:line="360" w:lineRule="auto"/>
              <w:textAlignment w:val="auto"/>
              <w:rPr>
                <w:rFonts w:ascii="宋体" w:eastAsia="宋体" w:hAnsi="宋体" w:cs="宋体" w:hint="eastAsia"/>
                <w:b/>
                <w:bCs/>
                <w:color w:val="0000FF"/>
                <w:sz w:val="21"/>
                <w:szCs w:val="21"/>
              </w:rPr>
            </w:pPr>
          </w:p>
        </w:tc>
        <w:tc>
          <w:tcPr>
            <w:tcW w:w="680"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lang w:eastAsia="zh-CN"/>
              </w:rPr>
            </w:pPr>
            <w:r>
              <w:rPr>
                <w:rFonts w:ascii="宋体" w:eastAsia="宋体" w:hAnsi="宋体" w:cs="宋体" w:hint="eastAsia"/>
                <w:sz w:val="21"/>
                <w:szCs w:val="21"/>
                <w:lang w:val="en-US" w:eastAsia="zh-CN"/>
              </w:rPr>
              <w:t>4</w:t>
            </w:r>
          </w:p>
        </w:tc>
        <w:tc>
          <w:tcPr>
            <w:tcW w:w="2835"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投标人自主知识产权产品及标准制定情况</w:t>
            </w:r>
          </w:p>
        </w:tc>
        <w:tc>
          <w:tcPr>
            <w:tcW w:w="681"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lang w:val="en-US" w:eastAsia="zh-CN"/>
              </w:rPr>
            </w:pPr>
            <w:r>
              <w:rPr>
                <w:rFonts w:ascii="宋体" w:eastAsia="宋体" w:hAnsi="宋体" w:cs="宋体" w:hint="eastAsia"/>
                <w:sz w:val="21"/>
                <w:szCs w:val="21"/>
                <w:highlight w:val="none"/>
                <w:lang w:val="en-US" w:eastAsia="zh-CN"/>
              </w:rPr>
              <w:t xml:space="preserve"> 5</w:t>
            </w:r>
          </w:p>
        </w:tc>
        <w:tc>
          <w:tcPr>
            <w:tcW w:w="4763"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outlineLvl w:val="1"/>
              <w:rPr>
                <w:rFonts w:ascii="宋体" w:eastAsia="宋体" w:hAnsi="宋体" w:cs="宋体" w:hint="eastAsia"/>
                <w:b w:val="0"/>
                <w:bCs w:val="0"/>
                <w:sz w:val="21"/>
                <w:szCs w:val="21"/>
              </w:rPr>
            </w:pPr>
            <w:r>
              <w:rPr>
                <w:rFonts w:ascii="宋体" w:eastAsia="宋体" w:hAnsi="宋体" w:cs="宋体" w:hint="eastAsia"/>
                <w:b w:val="0"/>
                <w:bCs w:val="0"/>
                <w:sz w:val="21"/>
                <w:szCs w:val="21"/>
              </w:rPr>
              <w:t>（一）评分内容：</w:t>
            </w:r>
          </w:p>
          <w:p>
            <w:pPr>
              <w:keepNext w:val="0"/>
              <w:keepLines w:val="0"/>
              <w:pageBreakBefore w:val="0"/>
              <w:kinsoku/>
              <w:wordWrap/>
              <w:overflowPunct/>
              <w:topLinePunct w:val="0"/>
              <w:bidi w:val="0"/>
              <w:spacing w:line="360" w:lineRule="auto"/>
              <w:textAlignment w:val="auto"/>
              <w:outlineLvl w:val="1"/>
              <w:rPr>
                <w:rFonts w:ascii="宋体" w:eastAsia="宋体" w:hAnsi="宋体" w:cs="宋体" w:hint="eastAsia"/>
                <w:b w:val="0"/>
                <w:bCs w:val="0"/>
                <w:sz w:val="21"/>
                <w:szCs w:val="21"/>
                <w:lang w:val="en-US" w:eastAsia="zh-CN"/>
              </w:rPr>
            </w:pPr>
            <w:r>
              <w:rPr>
                <w:rFonts w:ascii="宋体" w:eastAsia="宋体" w:hAnsi="宋体" w:cs="宋体" w:hint="eastAsia"/>
                <w:b w:val="0"/>
                <w:bCs w:val="0"/>
                <w:sz w:val="21"/>
                <w:szCs w:val="21"/>
                <w:lang w:val="en-US" w:eastAsia="zh-CN"/>
              </w:rPr>
              <w:t>（1）投标人具有电力类专利证书（应用领域为</w:t>
            </w:r>
            <w:r>
              <w:rPr>
                <w:rFonts w:ascii="宋体" w:eastAsia="宋体" w:hAnsi="宋体" w:cs="宋体" w:hint="eastAsia"/>
                <w:sz w:val="21"/>
                <w:szCs w:val="21"/>
              </w:rPr>
              <w:t>10kV或以上</w:t>
            </w:r>
            <w:r>
              <w:rPr>
                <w:rFonts w:ascii="宋体" w:eastAsia="宋体" w:hAnsi="宋体" w:cs="宋体" w:hint="eastAsia"/>
                <w:b w:val="0"/>
                <w:bCs w:val="0"/>
                <w:sz w:val="21"/>
                <w:szCs w:val="21"/>
                <w:lang w:val="en-US" w:eastAsia="zh-CN"/>
              </w:rPr>
              <w:t>发明或外观设计或新型实用类均可）的，每提供一个得20分</w:t>
            </w:r>
            <w:r>
              <w:rPr>
                <w:rFonts w:ascii="宋体" w:eastAsia="宋体" w:hAnsi="宋体" w:cs="宋体" w:hint="eastAsia"/>
                <w:sz w:val="21"/>
                <w:szCs w:val="21"/>
                <w:lang w:val="en-US" w:eastAsia="zh-CN"/>
              </w:rPr>
              <w:t>，本项最高得分40分；</w:t>
            </w:r>
            <w:r>
              <w:rPr>
                <w:rFonts w:ascii="宋体" w:eastAsia="宋体" w:hAnsi="宋体" w:cs="宋体" w:hint="eastAsia"/>
                <w:b w:val="0"/>
                <w:bCs w:val="0"/>
                <w:sz w:val="21"/>
                <w:szCs w:val="21"/>
              </w:rPr>
              <w:br/>
            </w:r>
            <w:r>
              <w:rPr>
                <w:rFonts w:ascii="宋体" w:eastAsia="宋体" w:hAnsi="宋体" w:cs="宋体" w:hint="eastAsia"/>
                <w:b w:val="0"/>
                <w:bCs w:val="0"/>
                <w:sz w:val="21"/>
                <w:szCs w:val="21"/>
                <w:lang w:val="en-US" w:eastAsia="zh-CN"/>
              </w:rPr>
              <w:t>（2）投标人具有参与行业标准政府主管部门制定的电力类标准（</w:t>
            </w:r>
            <w:r>
              <w:rPr>
                <w:rFonts w:ascii="宋体" w:eastAsia="宋体" w:hAnsi="宋体" w:cs="宋体" w:hint="eastAsia"/>
                <w:sz w:val="21"/>
                <w:szCs w:val="21"/>
              </w:rPr>
              <w:t>需包含10kV或以上</w:t>
            </w:r>
            <w:r>
              <w:rPr>
                <w:rFonts w:ascii="宋体" w:eastAsia="宋体" w:hAnsi="宋体" w:cs="宋体" w:hint="eastAsia"/>
                <w:sz w:val="21"/>
                <w:szCs w:val="21"/>
                <w:lang w:val="en-US" w:eastAsia="zh-CN"/>
              </w:rPr>
              <w:t>相关内容</w:t>
            </w:r>
            <w:r>
              <w:rPr>
                <w:rFonts w:ascii="宋体" w:eastAsia="宋体" w:hAnsi="宋体" w:cs="宋体" w:hint="eastAsia"/>
                <w:b w:val="0"/>
                <w:bCs w:val="0"/>
                <w:sz w:val="21"/>
                <w:szCs w:val="21"/>
                <w:lang w:val="en-US" w:eastAsia="zh-CN"/>
              </w:rPr>
              <w:t>）编制的，每提供一个副省级或以上得15分，在编制该标准中投标单位排名前五的另加10分，本项最高得分40分。</w:t>
            </w:r>
          </w:p>
          <w:p>
            <w:pPr>
              <w:pStyle w:val="a"/>
              <w:spacing w:before="0" w:after="0" w:line="360" w:lineRule="auto"/>
              <w:rPr>
                <w:rFonts w:ascii="宋体" w:eastAsia="宋体" w:hAnsi="宋体" w:cs="宋体" w:hint="eastAsia"/>
                <w:sz w:val="21"/>
                <w:szCs w:val="21"/>
                <w:lang w:val="en-US"/>
              </w:rPr>
            </w:pPr>
            <w:r>
              <w:rPr>
                <w:rFonts w:ascii="宋体" w:eastAsia="宋体" w:hAnsi="宋体" w:cs="宋体" w:hint="eastAsia"/>
                <w:b w:val="0"/>
                <w:bCs w:val="0"/>
                <w:sz w:val="21"/>
                <w:szCs w:val="21"/>
                <w:lang w:val="en-US" w:eastAsia="zh-CN"/>
              </w:rPr>
              <w:t>（3）投标人具有参与副省级以上政府主管部门颁布的电力类规范（</w:t>
            </w:r>
            <w:r>
              <w:rPr>
                <w:rFonts w:ascii="宋体" w:eastAsia="宋体" w:hAnsi="宋体" w:cs="宋体" w:hint="eastAsia"/>
                <w:sz w:val="21"/>
                <w:szCs w:val="21"/>
              </w:rPr>
              <w:t>需包含10kV或以上</w:t>
            </w:r>
            <w:r>
              <w:rPr>
                <w:rFonts w:ascii="宋体" w:eastAsia="宋体" w:hAnsi="宋体" w:cs="宋体" w:hint="eastAsia"/>
                <w:sz w:val="21"/>
                <w:szCs w:val="21"/>
                <w:lang w:val="en-US" w:eastAsia="zh-CN"/>
              </w:rPr>
              <w:t>相关内容</w:t>
            </w:r>
            <w:r>
              <w:rPr>
                <w:rFonts w:ascii="宋体" w:eastAsia="宋体" w:hAnsi="宋体" w:cs="宋体" w:hint="eastAsia"/>
                <w:b w:val="0"/>
                <w:bCs w:val="0"/>
                <w:sz w:val="21"/>
                <w:szCs w:val="21"/>
                <w:lang w:val="en-US" w:eastAsia="zh-CN"/>
              </w:rPr>
              <w:t>）指引编制</w:t>
            </w:r>
            <w:r>
              <w:rPr>
                <w:rFonts w:ascii="宋体" w:eastAsia="宋体" w:hAnsi="宋体" w:cs="宋体" w:hint="eastAsia"/>
                <w:sz w:val="21"/>
                <w:szCs w:val="21"/>
              </w:rPr>
              <w:t>或参与副省级或以上政府主管部门主持的电力类科研项目</w:t>
            </w:r>
            <w:r>
              <w:rPr>
                <w:rFonts w:ascii="宋体" w:eastAsia="宋体" w:hAnsi="宋体" w:cs="宋体" w:hint="eastAsia"/>
                <w:b w:val="0"/>
                <w:bCs w:val="0"/>
                <w:sz w:val="21"/>
                <w:szCs w:val="21"/>
                <w:lang w:val="en-US" w:eastAsia="zh-CN"/>
              </w:rPr>
              <w:t>（</w:t>
            </w:r>
            <w:r>
              <w:rPr>
                <w:rFonts w:ascii="宋体" w:eastAsia="宋体" w:hAnsi="宋体" w:cs="宋体" w:hint="eastAsia"/>
                <w:sz w:val="21"/>
                <w:szCs w:val="21"/>
              </w:rPr>
              <w:t>需包含10kV或以上</w:t>
            </w:r>
            <w:r>
              <w:rPr>
                <w:rFonts w:ascii="宋体" w:eastAsia="宋体" w:hAnsi="宋体" w:cs="宋体" w:hint="eastAsia"/>
                <w:sz w:val="21"/>
                <w:szCs w:val="21"/>
                <w:lang w:val="en-US" w:eastAsia="zh-CN"/>
              </w:rPr>
              <w:t>相关内容</w:t>
            </w:r>
            <w:r>
              <w:rPr>
                <w:rFonts w:ascii="宋体" w:eastAsia="宋体" w:hAnsi="宋体" w:cs="宋体" w:hint="eastAsia"/>
                <w:b w:val="0"/>
                <w:bCs w:val="0"/>
                <w:sz w:val="21"/>
                <w:szCs w:val="21"/>
                <w:lang w:val="en-US" w:eastAsia="zh-CN"/>
              </w:rPr>
              <w:t>）的，每提供一个得10分，本项最高得20分。</w:t>
            </w:r>
          </w:p>
          <w:p>
            <w:pPr>
              <w:pStyle w:val="a"/>
              <w:keepNext w:val="0"/>
              <w:keepLines w:val="0"/>
              <w:pageBreakBefore w:val="0"/>
              <w:kinsoku/>
              <w:wordWrap/>
              <w:overflowPunct/>
              <w:topLinePunct w:val="0"/>
              <w:bidi w:val="0"/>
              <w:spacing w:before="0" w:after="0" w:line="360" w:lineRule="auto"/>
              <w:textAlignment w:val="auto"/>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注：以上累计最高得100分。</w:t>
            </w:r>
          </w:p>
          <w:p>
            <w:pPr>
              <w:keepNext w:val="0"/>
              <w:keepLines w:val="0"/>
              <w:pageBreakBefore w:val="0"/>
              <w:numPr>
                <w:ilvl w:val="0"/>
                <w:numId w:val="0"/>
              </w:numPr>
              <w:kinsoku/>
              <w:wordWrap/>
              <w:overflowPunct/>
              <w:topLinePunct w:val="0"/>
              <w:autoSpaceDE w:val="0"/>
              <w:autoSpaceDN w:val="0"/>
              <w:bidi w:val="0"/>
              <w:adjustRightInd w:val="0"/>
              <w:spacing w:line="360" w:lineRule="auto"/>
              <w:ind w:left="0" w:firstLine="0" w:leftChars="0" w:firstLineChars="0"/>
              <w:jc w:val="left"/>
              <w:textAlignment w:val="auto"/>
              <w:rPr>
                <w:rFonts w:ascii="宋体" w:eastAsia="宋体" w:hAnsi="宋体" w:cs="宋体" w:hint="eastAsia"/>
                <w:kern w:val="2"/>
                <w:sz w:val="21"/>
                <w:szCs w:val="21"/>
                <w:lang w:val="en-US" w:eastAsia="zh-CN" w:bidi="ar-SA"/>
              </w:rPr>
            </w:pPr>
          </w:p>
          <w:p>
            <w:pPr>
              <w:keepNext w:val="0"/>
              <w:keepLines w:val="0"/>
              <w:pageBreakBefore w:val="0"/>
              <w:numPr>
                <w:ilvl w:val="0"/>
                <w:numId w:val="0"/>
              </w:numPr>
              <w:kinsoku/>
              <w:wordWrap/>
              <w:overflowPunct/>
              <w:topLinePunct w:val="0"/>
              <w:autoSpaceDE w:val="0"/>
              <w:autoSpaceDN w:val="0"/>
              <w:bidi w:val="0"/>
              <w:adjustRightInd w:val="0"/>
              <w:spacing w:line="360" w:lineRule="auto"/>
              <w:ind w:left="0" w:firstLine="0" w:leftChars="0" w:firstLineChars="0"/>
              <w:jc w:val="left"/>
              <w:textAlignment w:val="auto"/>
              <w:rPr>
                <w:rFonts w:ascii="宋体" w:eastAsia="宋体" w:hAnsi="宋体" w:cs="宋体" w:hint="eastAsia"/>
                <w:sz w:val="21"/>
                <w:szCs w:val="21"/>
              </w:rPr>
            </w:pPr>
            <w:r>
              <w:rPr>
                <w:rFonts w:ascii="宋体" w:eastAsia="宋体" w:hAnsi="宋体" w:cs="宋体" w:hint="eastAsia"/>
                <w:kern w:val="2"/>
                <w:sz w:val="21"/>
                <w:szCs w:val="21"/>
                <w:lang w:val="en-US" w:eastAsia="zh-CN" w:bidi="ar-SA"/>
              </w:rPr>
              <w:t>（二）</w:t>
            </w:r>
            <w:r>
              <w:rPr>
                <w:rFonts w:ascii="宋体" w:eastAsia="宋体" w:hAnsi="宋体" w:cs="宋体" w:hint="eastAsia"/>
                <w:sz w:val="21"/>
                <w:szCs w:val="21"/>
              </w:rPr>
              <w:t>评分依据：</w:t>
            </w:r>
          </w:p>
          <w:p>
            <w:pPr>
              <w:keepNext w:val="0"/>
              <w:keepLines w:val="0"/>
              <w:pageBreakBefore w:val="0"/>
              <w:numPr>
                <w:ilvl w:val="0"/>
                <w:numId w:val="0"/>
              </w:numPr>
              <w:kinsoku/>
              <w:wordWrap/>
              <w:overflowPunct/>
              <w:topLinePunct w:val="0"/>
              <w:autoSpaceDE w:val="0"/>
              <w:autoSpaceDN w:val="0"/>
              <w:bidi w:val="0"/>
              <w:adjustRightInd w:val="0"/>
              <w:spacing w:line="360" w:lineRule="auto"/>
              <w:ind w:leftChars="0"/>
              <w:jc w:val="left"/>
              <w:textAlignment w:val="auto"/>
              <w:rPr>
                <w:rFonts w:ascii="宋体" w:eastAsia="宋体" w:hAnsi="宋体" w:cs="宋体" w:hint="eastAsia"/>
                <w:sz w:val="21"/>
                <w:szCs w:val="21"/>
                <w:lang w:val="en-US" w:eastAsia="zh-CN"/>
              </w:rPr>
            </w:pPr>
            <w:r>
              <w:rPr>
                <w:rFonts w:ascii="宋体" w:eastAsia="宋体" w:hAnsi="宋体" w:cs="宋体" w:hint="eastAsia"/>
                <w:kern w:val="2"/>
                <w:sz w:val="21"/>
                <w:szCs w:val="21"/>
                <w:lang w:val="en-US" w:eastAsia="zh-CN" w:bidi="ar-SA"/>
              </w:rPr>
              <w:t>1.</w:t>
            </w:r>
            <w:r>
              <w:rPr>
                <w:rFonts w:ascii="宋体" w:eastAsia="宋体" w:hAnsi="宋体" w:cs="宋体" w:hint="eastAsia"/>
                <w:sz w:val="21"/>
                <w:szCs w:val="21"/>
              </w:rPr>
              <w:t>上述评分内容第（1）要求</w:t>
            </w:r>
            <w:r>
              <w:rPr>
                <w:rFonts w:ascii="宋体" w:eastAsia="宋体" w:hAnsi="宋体" w:cs="宋体" w:hint="eastAsia"/>
                <w:sz w:val="21"/>
                <w:szCs w:val="21"/>
                <w:lang w:val="en-US" w:eastAsia="zh-CN"/>
              </w:rPr>
              <w:t>提供有效的产权（专利或软件著作权登记证书）证书和能充分体现应用领域专利证书特点的相关证明材料作为得分依据；</w:t>
            </w:r>
          </w:p>
          <w:p>
            <w:pPr>
              <w:pStyle w:val="a"/>
              <w:keepNext w:val="0"/>
              <w:keepLines w:val="0"/>
              <w:pageBreakBefore w:val="0"/>
              <w:numPr>
                <w:ilvl w:val="0"/>
                <w:numId w:val="0"/>
              </w:numPr>
              <w:kinsoku/>
              <w:wordWrap/>
              <w:overflowPunct/>
              <w:topLinePunct w:val="0"/>
              <w:bidi w:val="0"/>
              <w:spacing w:before="0" w:after="0" w:line="360" w:lineRule="auto"/>
              <w:textAlignment w:val="auto"/>
              <w:rPr>
                <w:rFonts w:ascii="宋体" w:eastAsia="宋体" w:hAnsi="宋体" w:cs="宋体" w:hint="eastAsia"/>
                <w:sz w:val="21"/>
                <w:szCs w:val="21"/>
                <w:lang w:val="en-US" w:eastAsia="zh-CN"/>
              </w:rPr>
            </w:pPr>
            <w:r>
              <w:rPr>
                <w:rFonts w:ascii="宋体" w:eastAsia="宋体" w:hAnsi="宋体" w:cs="宋体" w:hint="eastAsia"/>
                <w:spacing w:val="10"/>
                <w:kern w:val="2"/>
                <w:sz w:val="21"/>
                <w:szCs w:val="21"/>
                <w:lang w:val="en-US" w:eastAsia="zh-CN" w:bidi="ar-SA"/>
              </w:rPr>
              <w:t>2.</w:t>
            </w:r>
            <w:r>
              <w:rPr>
                <w:rFonts w:ascii="宋体" w:eastAsia="宋体" w:hAnsi="宋体" w:cs="宋体" w:hint="eastAsia"/>
                <w:sz w:val="21"/>
                <w:szCs w:val="21"/>
              </w:rPr>
              <w:t>上述评分内容第（</w:t>
            </w:r>
            <w:r>
              <w:rPr>
                <w:rFonts w:ascii="宋体" w:eastAsia="宋体" w:hAnsi="宋体" w:cs="宋体" w:hint="eastAsia"/>
                <w:sz w:val="21"/>
                <w:szCs w:val="21"/>
                <w:lang w:val="en-US" w:eastAsia="zh-CN"/>
              </w:rPr>
              <w:t>2</w:t>
            </w:r>
            <w:r>
              <w:rPr>
                <w:rFonts w:ascii="宋体" w:eastAsia="宋体" w:hAnsi="宋体" w:cs="宋体" w:hint="eastAsia"/>
                <w:sz w:val="21"/>
                <w:szCs w:val="21"/>
              </w:rPr>
              <w:t>）要求</w:t>
            </w:r>
            <w:r>
              <w:rPr>
                <w:rFonts w:ascii="宋体" w:eastAsia="宋体" w:hAnsi="宋体" w:cs="宋体" w:hint="eastAsia"/>
                <w:sz w:val="21"/>
                <w:szCs w:val="21"/>
                <w:lang w:val="en-US" w:eastAsia="zh-CN"/>
              </w:rPr>
              <w:t>提供参与编制标准的证明文件作为得分依据；</w:t>
            </w:r>
          </w:p>
          <w:p>
            <w:pPr>
              <w:pStyle w:val="a"/>
              <w:keepNext w:val="0"/>
              <w:keepLines w:val="0"/>
              <w:pageBreakBefore w:val="0"/>
              <w:numPr>
                <w:ilvl w:val="0"/>
                <w:numId w:val="0"/>
              </w:numPr>
              <w:kinsoku/>
              <w:wordWrap/>
              <w:overflowPunct/>
              <w:topLinePunct w:val="0"/>
              <w:bidi w:val="0"/>
              <w:spacing w:before="0" w:after="0" w:line="360" w:lineRule="auto"/>
              <w:textAlignment w:val="auto"/>
              <w:rPr>
                <w:rFonts w:ascii="宋体" w:eastAsia="宋体" w:hAnsi="宋体" w:cs="宋体" w:hint="eastAsia"/>
                <w:sz w:val="21"/>
                <w:szCs w:val="21"/>
                <w:lang w:val="en-US" w:eastAsia="zh-CN"/>
              </w:rPr>
            </w:pPr>
            <w:r>
              <w:rPr>
                <w:rFonts w:ascii="宋体" w:eastAsia="宋体" w:hAnsi="宋体" w:cs="宋体" w:hint="eastAsia"/>
                <w:spacing w:val="10"/>
                <w:kern w:val="2"/>
                <w:sz w:val="21"/>
                <w:szCs w:val="21"/>
                <w:lang w:val="en-US" w:eastAsia="zh-CN" w:bidi="ar-SA"/>
              </w:rPr>
              <w:t>3.</w:t>
            </w:r>
            <w:r>
              <w:rPr>
                <w:rFonts w:ascii="宋体" w:eastAsia="宋体" w:hAnsi="宋体" w:cs="宋体" w:hint="eastAsia"/>
                <w:sz w:val="21"/>
                <w:szCs w:val="21"/>
              </w:rPr>
              <w:t>上述评分内容第（</w:t>
            </w:r>
            <w:r>
              <w:rPr>
                <w:rFonts w:ascii="宋体" w:eastAsia="宋体" w:hAnsi="宋体" w:cs="宋体" w:hint="eastAsia"/>
                <w:sz w:val="21"/>
                <w:szCs w:val="21"/>
                <w:lang w:val="en-US" w:eastAsia="zh-CN"/>
              </w:rPr>
              <w:t>3</w:t>
            </w:r>
            <w:r>
              <w:rPr>
                <w:rFonts w:ascii="宋体" w:eastAsia="宋体" w:hAnsi="宋体" w:cs="宋体" w:hint="eastAsia"/>
                <w:sz w:val="21"/>
                <w:szCs w:val="21"/>
              </w:rPr>
              <w:t>）要求</w:t>
            </w:r>
            <w:r>
              <w:rPr>
                <w:rFonts w:ascii="宋体" w:eastAsia="宋体" w:hAnsi="宋体" w:cs="宋体" w:hint="eastAsia"/>
                <w:sz w:val="21"/>
                <w:szCs w:val="21"/>
                <w:lang w:val="en-US" w:eastAsia="zh-CN"/>
              </w:rPr>
              <w:t>提供参与规范编制或参与科研的证明文件作为得分依据；</w:t>
            </w:r>
          </w:p>
          <w:p>
            <w:pPr>
              <w:keepNext w:val="0"/>
              <w:keepLines w:val="0"/>
              <w:pageBreakBefore w:val="0"/>
              <w:numPr>
                <w:ilvl w:val="0"/>
                <w:numId w:val="0"/>
              </w:numPr>
              <w:kinsoku/>
              <w:wordWrap/>
              <w:overflowPunct/>
              <w:topLinePunct w:val="0"/>
              <w:autoSpaceDE w:val="0"/>
              <w:autoSpaceDN w:val="0"/>
              <w:bidi w:val="0"/>
              <w:adjustRightInd w:val="0"/>
              <w:spacing w:line="360" w:lineRule="auto"/>
              <w:ind w:leftChars="0"/>
              <w:jc w:val="left"/>
              <w:textAlignment w:val="auto"/>
              <w:rPr>
                <w:rFonts w:ascii="宋体" w:eastAsia="宋体" w:hAnsi="宋体" w:cs="宋体" w:hint="eastAsia"/>
                <w:sz w:val="21"/>
                <w:szCs w:val="21"/>
              </w:rPr>
            </w:pPr>
            <w:r>
              <w:rPr>
                <w:rFonts w:ascii="宋体" w:eastAsia="宋体" w:hAnsi="宋体" w:cs="宋体" w:hint="eastAsia"/>
                <w:sz w:val="21"/>
                <w:szCs w:val="21"/>
                <w:lang w:val="en-US" w:eastAsia="zh-CN"/>
              </w:rPr>
              <w:t>4</w:t>
            </w:r>
            <w:r>
              <w:rPr>
                <w:rFonts w:ascii="宋体" w:eastAsia="宋体" w:hAnsi="宋体" w:cs="宋体" w:hint="eastAsia"/>
                <w:sz w:val="21"/>
                <w:szCs w:val="21"/>
              </w:rPr>
              <w:t>.</w:t>
            </w:r>
            <w:r>
              <w:rPr>
                <w:rFonts w:ascii="宋体" w:eastAsia="宋体" w:hAnsi="宋体" w:cs="宋体" w:hint="eastAsia"/>
                <w:kern w:val="0"/>
                <w:sz w:val="21"/>
                <w:szCs w:val="21"/>
              </w:rPr>
              <w:t>提供</w:t>
            </w:r>
            <w:r>
              <w:rPr>
                <w:rFonts w:ascii="宋体" w:eastAsia="宋体" w:hAnsi="宋体" w:cs="宋体" w:hint="eastAsia"/>
                <w:sz w:val="21"/>
                <w:szCs w:val="21"/>
              </w:rPr>
              <w:t>以上证明文件</w:t>
            </w:r>
            <w:r>
              <w:rPr>
                <w:rFonts w:ascii="宋体" w:eastAsia="宋体" w:hAnsi="宋体" w:cs="宋体" w:hint="eastAsia"/>
                <w:kern w:val="0"/>
                <w:sz w:val="21"/>
                <w:szCs w:val="21"/>
              </w:rPr>
              <w:t>扫描件，</w:t>
            </w:r>
            <w:r>
              <w:rPr>
                <w:rFonts w:ascii="宋体" w:eastAsia="宋体" w:hAnsi="宋体" w:cs="宋体" w:hint="eastAsia"/>
                <w:sz w:val="21"/>
                <w:szCs w:val="21"/>
              </w:rPr>
              <w:t>如涉及网站截图或照片等证明材料,需提供清晰图片,</w:t>
            </w:r>
            <w:r>
              <w:rPr>
                <w:rFonts w:ascii="宋体" w:eastAsia="宋体" w:hAnsi="宋体" w:cs="宋体" w:hint="eastAsia"/>
                <w:kern w:val="0"/>
                <w:sz w:val="21"/>
                <w:szCs w:val="21"/>
              </w:rPr>
              <w:t>原件备查</w:t>
            </w:r>
            <w:r>
              <w:rPr>
                <w:rFonts w:ascii="宋体" w:eastAsia="宋体" w:hAnsi="宋体" w:cs="宋体" w:hint="eastAsia"/>
                <w:sz w:val="21"/>
                <w:szCs w:val="21"/>
              </w:rPr>
              <w:t>。未按要求提供有效证明材料或提供不清晰导致评委无法识别的不计得分。</w:t>
            </w:r>
          </w:p>
        </w:tc>
      </w:tr>
      <w:tr>
        <w:tblPrEx>
          <w:tblW w:w="9639" w:type="dxa"/>
          <w:jc w:val="center"/>
          <w:tblLayout w:type="fixed"/>
          <w:tblCellMar>
            <w:top w:w="20" w:type="dxa"/>
            <w:left w:w="108" w:type="dxa"/>
            <w:bottom w:w="20" w:type="dxa"/>
            <w:right w:w="108" w:type="dxa"/>
          </w:tblCellMar>
        </w:tblPrEx>
        <w:trPr>
          <w:jc w:val="center"/>
        </w:trPr>
        <w:tc>
          <w:tcPr>
            <w:tcW w:w="680" w:type="dxa"/>
            <w:vMerge w:val="restart"/>
            <w:tcBorders>
              <w:top w:val="single" w:sz="8" w:space="0" w:color="000000"/>
              <w:left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b/>
                <w:bCs/>
                <w:color w:val="0000FF"/>
                <w:sz w:val="21"/>
                <w:szCs w:val="21"/>
              </w:rPr>
            </w:pPr>
            <w:r>
              <w:rPr>
                <w:rFonts w:ascii="宋体" w:eastAsia="宋体" w:hAnsi="宋体" w:cs="宋体" w:hint="eastAsia"/>
                <w:b/>
                <w:bCs/>
                <w:color w:val="0000FF"/>
                <w:sz w:val="21"/>
                <w:szCs w:val="21"/>
              </w:rPr>
              <w:t>4</w:t>
            </w:r>
          </w:p>
        </w:tc>
        <w:tc>
          <w:tcPr>
            <w:tcW w:w="4196" w:type="dxa"/>
            <w:gridSpan w:val="3"/>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b/>
                <w:bCs/>
                <w:color w:val="0000FF"/>
                <w:sz w:val="21"/>
                <w:szCs w:val="21"/>
                <w:lang w:val="en-US" w:eastAsia="zh-CN"/>
              </w:rPr>
            </w:pPr>
            <w:r>
              <w:rPr>
                <w:rFonts w:ascii="宋体" w:eastAsia="宋体" w:hAnsi="宋体" w:cs="宋体" w:hint="eastAsia"/>
                <w:b/>
                <w:bCs/>
                <w:color w:val="0000FF"/>
                <w:sz w:val="21"/>
                <w:szCs w:val="21"/>
                <w:lang w:val="en-US" w:eastAsia="zh-CN"/>
              </w:rPr>
              <w:t>其他</w:t>
            </w:r>
          </w:p>
        </w:tc>
        <w:tc>
          <w:tcPr>
            <w:tcW w:w="4763"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b/>
                <w:bCs/>
                <w:color w:val="0000FF"/>
                <w:sz w:val="21"/>
                <w:szCs w:val="21"/>
              </w:rPr>
            </w:pPr>
            <w:r>
              <w:rPr>
                <w:rFonts w:ascii="宋体" w:eastAsia="宋体" w:hAnsi="宋体" w:cs="宋体" w:hint="eastAsia"/>
                <w:b/>
                <w:bCs/>
                <w:color w:val="0000FF"/>
                <w:sz w:val="21"/>
                <w:szCs w:val="21"/>
              </w:rPr>
              <w:t>5</w:t>
            </w:r>
          </w:p>
        </w:tc>
      </w:tr>
      <w:tr>
        <w:tblPrEx>
          <w:tblW w:w="9639" w:type="dxa"/>
          <w:jc w:val="center"/>
          <w:tblLayout w:type="fixed"/>
          <w:tblCellMar>
            <w:top w:w="20" w:type="dxa"/>
            <w:left w:w="108" w:type="dxa"/>
            <w:bottom w:w="20" w:type="dxa"/>
            <w:right w:w="108" w:type="dxa"/>
          </w:tblCellMar>
        </w:tblPrEx>
        <w:trPr>
          <w:jc w:val="center"/>
        </w:trPr>
        <w:tc>
          <w:tcPr>
            <w:tcW w:w="680" w:type="dxa"/>
            <w:vMerge/>
            <w:tcBorders>
              <w:left w:val="single" w:sz="8" w:space="0" w:color="000000"/>
              <w:right w:val="single" w:sz="8" w:space="0" w:color="000000"/>
            </w:tcBorders>
            <w:vAlign w:val="center"/>
          </w:tcPr>
          <w:p>
            <w:pPr>
              <w:keepNext w:val="0"/>
              <w:keepLines w:val="0"/>
              <w:pageBreakBefore w:val="0"/>
              <w:kinsoku/>
              <w:wordWrap/>
              <w:overflowPunct/>
              <w:topLinePunct w:val="0"/>
              <w:bidi w:val="0"/>
              <w:spacing w:line="360" w:lineRule="auto"/>
              <w:textAlignment w:val="auto"/>
              <w:rPr>
                <w:rFonts w:ascii="宋体" w:eastAsia="宋体" w:hAnsi="宋体" w:cs="宋体" w:hint="eastAsia"/>
                <w:b/>
                <w:bCs/>
                <w:color w:val="0000FF"/>
                <w:sz w:val="21"/>
                <w:szCs w:val="21"/>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评分因素</w:t>
            </w:r>
          </w:p>
        </w:tc>
        <w:tc>
          <w:tcPr>
            <w:tcW w:w="681"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权重(%)</w:t>
            </w:r>
          </w:p>
        </w:tc>
        <w:tc>
          <w:tcPr>
            <w:tcW w:w="4763" w:type="dxa"/>
            <w:tcBorders>
              <w:top w:val="outset" w:sz="6" w:space="0" w:color="000000"/>
              <w:left w:val="outset" w:sz="6" w:space="0" w:color="000000"/>
              <w:bottom w:val="outset" w:sz="6" w:space="0" w:color="000000"/>
              <w:right w:val="outset" w:sz="6" w:space="0" w:color="000000"/>
            </w:tcBorders>
            <w:shd w:val="clear" w:color="auto" w:fill="E6EFFA"/>
            <w:vAlign w:val="center"/>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评分准则</w:t>
            </w:r>
          </w:p>
        </w:tc>
      </w:tr>
      <w:tr>
        <w:tblPrEx>
          <w:tblW w:w="9639" w:type="dxa"/>
          <w:jc w:val="center"/>
          <w:tblLayout w:type="fixed"/>
          <w:tblCellMar>
            <w:top w:w="20" w:type="dxa"/>
            <w:left w:w="108" w:type="dxa"/>
            <w:bottom w:w="20" w:type="dxa"/>
            <w:right w:w="108" w:type="dxa"/>
          </w:tblCellMar>
        </w:tblPrEx>
        <w:trPr>
          <w:jc w:val="center"/>
        </w:trPr>
        <w:tc>
          <w:tcPr>
            <w:tcW w:w="680" w:type="dxa"/>
            <w:vMerge/>
            <w:tcBorders>
              <w:left w:val="single" w:sz="8" w:space="0" w:color="000000"/>
              <w:right w:val="single" w:sz="8" w:space="0" w:color="000000"/>
            </w:tcBorders>
            <w:vAlign w:val="center"/>
          </w:tcPr>
          <w:p>
            <w:pPr>
              <w:keepNext w:val="0"/>
              <w:keepLines w:val="0"/>
              <w:pageBreakBefore w:val="0"/>
              <w:kinsoku/>
              <w:wordWrap/>
              <w:overflowPunct/>
              <w:topLinePunct w:val="0"/>
              <w:bidi w:val="0"/>
              <w:spacing w:line="360" w:lineRule="auto"/>
              <w:textAlignment w:val="auto"/>
              <w:rPr>
                <w:rFonts w:ascii="宋体" w:eastAsia="宋体" w:hAnsi="宋体" w:cs="宋体" w:hint="eastAsia"/>
                <w:b/>
                <w:bCs/>
                <w:color w:val="0000FF"/>
                <w:sz w:val="21"/>
                <w:szCs w:val="21"/>
              </w:rPr>
            </w:pPr>
          </w:p>
        </w:tc>
        <w:tc>
          <w:tcPr>
            <w:tcW w:w="680"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1</w:t>
            </w:r>
          </w:p>
        </w:tc>
        <w:tc>
          <w:tcPr>
            <w:tcW w:w="2835"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rPr>
            </w:pPr>
            <w:r>
              <w:rPr>
                <w:rFonts w:ascii="宋体" w:eastAsia="宋体" w:hAnsi="宋体" w:cs="宋体" w:hint="eastAsia"/>
                <w:sz w:val="21"/>
                <w:szCs w:val="21"/>
              </w:rPr>
              <w:t>诚信评审</w:t>
            </w:r>
          </w:p>
        </w:tc>
        <w:tc>
          <w:tcPr>
            <w:tcW w:w="681"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jc w:val="center"/>
              <w:textAlignment w:val="auto"/>
              <w:rPr>
                <w:rFonts w:ascii="宋体" w:eastAsia="宋体" w:hAnsi="宋体" w:cs="宋体" w:hint="eastAsia"/>
                <w:sz w:val="21"/>
                <w:szCs w:val="21"/>
              </w:rPr>
            </w:pPr>
            <w:r>
              <w:rPr>
                <w:rFonts w:ascii="宋体" w:eastAsia="宋体" w:hAnsi="宋体" w:cs="宋体" w:hint="eastAsia"/>
                <w:sz w:val="21"/>
                <w:szCs w:val="21"/>
              </w:rPr>
              <w:t>5</w:t>
            </w:r>
          </w:p>
        </w:tc>
        <w:tc>
          <w:tcPr>
            <w:tcW w:w="4763" w:type="dxa"/>
            <w:tcBorders>
              <w:top w:val="single" w:sz="8" w:space="0" w:color="000000"/>
              <w:left w:val="single" w:sz="8" w:space="0" w:color="000000"/>
              <w:bottom w:val="single" w:sz="8" w:space="0" w:color="000000"/>
              <w:right w:val="single" w:sz="8" w:space="0" w:color="000000"/>
            </w:tcBorders>
          </w:tcPr>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rPr>
            </w:pPr>
            <w:r>
              <w:rPr>
                <w:rFonts w:ascii="宋体" w:eastAsia="宋体" w:hAnsi="宋体" w:cs="宋体" w:hint="eastAsia"/>
                <w:sz w:val="21"/>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100分。</w:t>
            </w:r>
          </w:p>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rPr>
            </w:pPr>
          </w:p>
          <w:p>
            <w:pPr>
              <w:keepNext w:val="0"/>
              <w:keepLines w:val="0"/>
              <w:pageBreakBefore w:val="0"/>
              <w:kinsoku/>
              <w:wordWrap/>
              <w:overflowPunct/>
              <w:topLinePunct w:val="0"/>
              <w:bidi w:val="0"/>
              <w:spacing w:line="360" w:lineRule="auto"/>
              <w:textAlignment w:val="auto"/>
              <w:rPr>
                <w:rFonts w:ascii="宋体" w:eastAsia="宋体" w:hAnsi="宋体" w:cs="宋体" w:hint="eastAsia"/>
                <w:sz w:val="21"/>
                <w:szCs w:val="21"/>
              </w:rPr>
            </w:pPr>
            <w:r>
              <w:rPr>
                <w:rFonts w:ascii="宋体" w:eastAsia="宋体" w:hAnsi="宋体" w:cs="宋体" w:hint="eastAsia"/>
                <w:sz w:val="21"/>
                <w:szCs w:val="21"/>
              </w:rPr>
              <w:t>（采购代理机构通过“信用中国”、“中国政府采购网”、“深圳市政府采购监管网”以及市、区财政部门认定的其他渠道查询供应商信用信息，投标人无需提供证明材料。）</w:t>
            </w:r>
          </w:p>
        </w:tc>
      </w:tr>
    </w:tbl>
    <w:p>
      <w:pPr>
        <w:rPr>
          <w:rFonts w:asciiTheme="minorEastAsia" w:eastAsiaTheme="minorEastAsia" w:hAnsiTheme="minorEastAsia" w:hint="eastAsia"/>
          <w:b/>
          <w:bCs/>
          <w:sz w:val="28"/>
          <w:szCs w:val="56"/>
        </w:rPr>
      </w:pPr>
      <w:r>
        <w:rPr>
          <w:rFonts w:asciiTheme="minorEastAsia" w:eastAsiaTheme="minorEastAsia" w:hAnsiTheme="minorEastAsia" w:hint="eastAsia"/>
          <w:b/>
          <w:bCs/>
          <w:sz w:val="28"/>
          <w:szCs w:val="56"/>
        </w:rPr>
        <w:br w:type="page"/>
      </w:r>
    </w:p>
    <w:p>
      <w:pPr>
        <w:pStyle w:val="Heading1"/>
        <w:spacing w:before="0" w:after="0"/>
        <w:rPr>
          <w:rFonts w:asciiTheme="minorEastAsia" w:eastAsiaTheme="minorEastAsia" w:hAnsiTheme="minorEastAsia"/>
        </w:rPr>
      </w:pPr>
      <w:r>
        <w:rPr>
          <w:rFonts w:asciiTheme="minorEastAsia" w:eastAsiaTheme="minorEastAsia" w:hAnsiTheme="minorEastAsia" w:hint="eastAsia"/>
          <w:b/>
          <w:bCs/>
          <w:sz w:val="28"/>
          <w:szCs w:val="56"/>
        </w:rPr>
        <w:t>其它关键信息</w:t>
      </w:r>
    </w:p>
    <w:p>
      <w:pPr>
        <w:spacing w:line="360" w:lineRule="auto"/>
        <w:ind w:firstLine="412" w:firstLineChars="196"/>
        <w:rPr>
          <w:rFonts w:ascii="宋体" w:hAnsi="宋体"/>
          <w:szCs w:val="21"/>
        </w:rPr>
      </w:pPr>
      <w:r>
        <w:rPr>
          <w:rFonts w:ascii="宋体" w:hAnsi="宋体" w:hint="eastAsia"/>
          <w:b/>
          <w:szCs w:val="21"/>
        </w:rPr>
        <w:t>一</w:t>
      </w:r>
      <w:r>
        <w:rPr>
          <w:rFonts w:asciiTheme="minorEastAsia" w:eastAsiaTheme="minorEastAsia" w:hAnsiTheme="minorEastAsia" w:hint="eastAsia"/>
          <w:b/>
          <w:szCs w:val="21"/>
        </w:rPr>
        <w:t>、</w:t>
      </w:r>
      <w:r>
        <w:rPr>
          <w:rFonts w:hint="eastAsia"/>
          <w:b/>
          <w:szCs w:val="21"/>
        </w:rPr>
        <w:t>评标定标信息</w:t>
      </w:r>
    </w:p>
    <w:tbl>
      <w:tblPr>
        <w:tblStyle w:val="TableNormal"/>
        <w:tblW w:w="8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4264"/>
        <w:gridCol w:w="4265"/>
      </w:tblGrid>
      <w:tr>
        <w:tblPrEx>
          <w:tblW w:w="8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Ex>
        <w:trPr>
          <w:jc w:val="center"/>
        </w:trPr>
        <w:tc>
          <w:tcPr>
            <w:tcW w:w="4264" w:type="dxa"/>
          </w:tcPr>
          <w:p>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是否评标定标分离</w:t>
            </w:r>
          </w:p>
        </w:tc>
        <w:tc>
          <w:tcPr>
            <w:tcW w:w="4265" w:type="dxa"/>
          </w:tcPr>
          <w:p>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非评定分离</w:t>
            </w:r>
          </w:p>
        </w:tc>
      </w:tr>
      <w:tr>
        <w:tblPrEx>
          <w:tblW w:w="8529" w:type="dxa"/>
          <w:jc w:val="center"/>
          <w:tblLayout w:type="fixed"/>
          <w:tblCellMar>
            <w:top w:w="0" w:type="dxa"/>
            <w:left w:w="108" w:type="dxa"/>
            <w:bottom w:w="0" w:type="dxa"/>
            <w:right w:w="108" w:type="dxa"/>
          </w:tblCellMar>
        </w:tblPrEx>
        <w:trPr>
          <w:jc w:val="center"/>
        </w:trPr>
        <w:tc>
          <w:tcPr>
            <w:tcW w:w="4264" w:type="dxa"/>
          </w:tcPr>
          <w:p>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定标方法</w:t>
            </w:r>
          </w:p>
        </w:tc>
        <w:tc>
          <w:tcPr>
            <w:tcW w:w="4265" w:type="dxa"/>
          </w:tcPr>
          <w:p>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w:t>
            </w:r>
          </w:p>
        </w:tc>
      </w:tr>
      <w:tr>
        <w:tblPrEx>
          <w:tblW w:w="8529" w:type="dxa"/>
          <w:jc w:val="center"/>
          <w:tblLayout w:type="fixed"/>
          <w:tblCellMar>
            <w:top w:w="0" w:type="dxa"/>
            <w:left w:w="108" w:type="dxa"/>
            <w:bottom w:w="0" w:type="dxa"/>
            <w:right w:w="108" w:type="dxa"/>
          </w:tblCellMar>
        </w:tblPrEx>
        <w:trPr>
          <w:jc w:val="center"/>
        </w:trPr>
        <w:tc>
          <w:tcPr>
            <w:tcW w:w="4264" w:type="dxa"/>
          </w:tcPr>
          <w:p>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评标方法</w:t>
            </w:r>
          </w:p>
        </w:tc>
        <w:tc>
          <w:tcPr>
            <w:tcW w:w="4265" w:type="dxa"/>
          </w:tcPr>
          <w:p>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综合评分法</w:t>
            </w:r>
          </w:p>
        </w:tc>
      </w:tr>
      <w:tr>
        <w:tblPrEx>
          <w:tblW w:w="8529" w:type="dxa"/>
          <w:jc w:val="center"/>
          <w:tblLayout w:type="fixed"/>
          <w:tblCellMar>
            <w:top w:w="0" w:type="dxa"/>
            <w:left w:w="108" w:type="dxa"/>
            <w:bottom w:w="0" w:type="dxa"/>
            <w:right w:w="108" w:type="dxa"/>
          </w:tblCellMar>
        </w:tblPrEx>
        <w:trPr>
          <w:trHeight w:val="377"/>
          <w:jc w:val="center"/>
        </w:trPr>
        <w:tc>
          <w:tcPr>
            <w:tcW w:w="4264" w:type="dxa"/>
          </w:tcPr>
          <w:p>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中标供应商家数</w:t>
            </w:r>
          </w:p>
        </w:tc>
        <w:tc>
          <w:tcPr>
            <w:tcW w:w="4265" w:type="dxa"/>
          </w:tcPr>
          <w:p>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1</w:t>
            </w:r>
          </w:p>
        </w:tc>
      </w:tr>
      <w:tr>
        <w:tblPrEx>
          <w:tblW w:w="8529" w:type="dxa"/>
          <w:jc w:val="center"/>
          <w:tblLayout w:type="fixed"/>
          <w:tblCellMar>
            <w:top w:w="0" w:type="dxa"/>
            <w:left w:w="108" w:type="dxa"/>
            <w:bottom w:w="0" w:type="dxa"/>
            <w:right w:w="108" w:type="dxa"/>
          </w:tblCellMar>
        </w:tblPrEx>
        <w:trPr>
          <w:jc w:val="center"/>
        </w:trPr>
        <w:tc>
          <w:tcPr>
            <w:tcW w:w="4264" w:type="dxa"/>
          </w:tcPr>
          <w:p>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候选中标供应商家数</w:t>
            </w:r>
          </w:p>
        </w:tc>
        <w:tc>
          <w:tcPr>
            <w:tcW w:w="4265" w:type="dxa"/>
          </w:tcPr>
          <w:p>
            <w:pPr>
              <w:spacing w:after="60"/>
              <w:jc w:val="center"/>
              <w:rPr>
                <w:rFonts w:asciiTheme="minorEastAsia" w:eastAsiaTheme="minorEastAsia" w:hAnsiTheme="minorEastAsia" w:hint="eastAsia"/>
                <w:szCs w:val="21"/>
                <w:lang w:eastAsia="zh-CN"/>
              </w:rPr>
            </w:pPr>
            <w:r>
              <w:rPr>
                <w:rFonts w:asciiTheme="minorEastAsia" w:eastAsiaTheme="minorEastAsia" w:hAnsiTheme="minorEastAsia" w:hint="eastAsia"/>
                <w:szCs w:val="21"/>
                <w:lang w:val="en-US" w:eastAsia="zh-CN"/>
              </w:rPr>
              <w:t>3</w:t>
            </w:r>
          </w:p>
        </w:tc>
      </w:tr>
    </w:tbl>
    <w:p>
      <w:pPr>
        <w:spacing w:line="360" w:lineRule="auto"/>
        <w:ind w:firstLine="412" w:firstLineChars="196"/>
        <w:rPr>
          <w:rFonts w:ascii="宋体" w:hAnsi="宋体"/>
        </w:rPr>
      </w:pPr>
    </w:p>
    <w:p>
      <w:pPr>
        <w:spacing w:line="360" w:lineRule="auto"/>
        <w:ind w:firstLine="412" w:firstLineChars="196"/>
        <w:rPr>
          <w:rFonts w:ascii="宋体" w:hAnsi="宋体"/>
          <w:b/>
          <w:szCs w:val="21"/>
        </w:rPr>
      </w:pPr>
      <w:r>
        <w:rPr>
          <w:rFonts w:ascii="宋体" w:hAnsi="宋体" w:hint="eastAsia"/>
          <w:b/>
          <w:szCs w:val="21"/>
        </w:rPr>
        <w:t>二</w:t>
      </w:r>
      <w:r>
        <w:rPr>
          <w:rFonts w:asciiTheme="minorEastAsia" w:eastAsiaTheme="minorEastAsia" w:hAnsiTheme="minorEastAsia" w:hint="eastAsia"/>
          <w:b/>
          <w:szCs w:val="21"/>
        </w:rPr>
        <w:t>、</w:t>
      </w:r>
      <w:r>
        <w:rPr>
          <w:rFonts w:ascii="宋体" w:hAnsi="宋体" w:hint="eastAsia"/>
          <w:b/>
          <w:szCs w:val="21"/>
        </w:rPr>
        <w:t>报价明显偏低的合理性说明</w:t>
      </w:r>
    </w:p>
    <w:p>
      <w:pPr>
        <w:spacing w:line="360" w:lineRule="auto"/>
        <w:ind w:firstLine="420" w:firstLineChars="200"/>
        <w:rPr>
          <w:rFonts w:ascii="宋体" w:hAnsi="宋体"/>
          <w:szCs w:val="21"/>
        </w:rPr>
      </w:pP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hAns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rPr>
          <w:rFonts w:ascii="宋体" w:hAnsi="宋体"/>
          <w:szCs w:val="21"/>
        </w:rPr>
      </w:pPr>
    </w:p>
    <w:p>
      <w:pPr>
        <w:spacing w:line="360" w:lineRule="auto"/>
        <w:ind w:firstLine="420" w:firstLineChars="200"/>
        <w:rPr>
          <w:rFonts w:asciiTheme="minorEastAsia" w:eastAsiaTheme="minorEastAsia" w:hAnsiTheme="minorEastAsia"/>
          <w:b/>
          <w:bCs/>
        </w:rPr>
      </w:pPr>
      <w:r>
        <w:rPr>
          <w:rFonts w:asciiTheme="minorEastAsia" w:eastAsiaTheme="minorEastAsia" w:hAnsiTheme="minorEastAsia" w:hint="eastAsia"/>
          <w:b/>
          <w:szCs w:val="21"/>
        </w:rPr>
        <w:t>三、</w:t>
      </w:r>
      <w:r>
        <w:rPr>
          <w:rFonts w:asciiTheme="minorEastAsia" w:eastAsiaTheme="minorEastAsia" w:hAnsiTheme="minorEastAsia" w:hint="eastAsia"/>
          <w:b/>
          <w:bCs/>
        </w:rPr>
        <w:t>关于享受政府采购扶持政策的主体及价格扣除比例</w:t>
      </w:r>
    </w:p>
    <w:p>
      <w:pPr>
        <w:spacing w:after="60" w:line="360" w:lineRule="auto"/>
        <w:ind w:firstLine="424" w:firstLineChars="202"/>
        <w:rPr>
          <w:rFonts w:ascii="宋体" w:hAnsi="宋体"/>
          <w:b/>
          <w:snapToGrid w:val="0"/>
          <w:szCs w:val="21"/>
        </w:rPr>
      </w:pPr>
      <w:r>
        <w:rPr>
          <w:rFonts w:ascii="宋体" w:hAnsi="宋体" w:hint="eastAsia"/>
          <w:b/>
          <w:snapToGrid w:val="0"/>
          <w:szCs w:val="21"/>
          <w:highlight w:val="yellow"/>
        </w:rPr>
        <w:t>（一）本项目所属行业为</w:t>
      </w:r>
      <w:r>
        <w:rPr>
          <w:rFonts w:ascii="宋体" w:hAnsi="宋体" w:hint="eastAsia"/>
          <w:b/>
          <w:snapToGrid w:val="0"/>
          <w:szCs w:val="21"/>
          <w:highlight w:val="yellow"/>
          <w:u w:val="single"/>
        </w:rPr>
        <w:t xml:space="preserve"> 其他未列明行业 </w:t>
      </w:r>
      <w:r>
        <w:rPr>
          <w:rFonts w:ascii="宋体" w:hAnsi="宋体" w:hint="eastAsia"/>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0" w:firstLineChars="200"/>
        <w:rPr>
          <w:rFonts w:asciiTheme="minorEastAsia" w:eastAsiaTheme="minorEastAsia" w:hAnsiTheme="minorEastAsia"/>
          <w:b/>
          <w:bCs/>
        </w:rPr>
      </w:pPr>
      <w:r>
        <w:rPr>
          <w:rFonts w:asciiTheme="minorEastAsia" w:eastAsiaTheme="minorEastAsia" w:hAnsiTheme="minorEastAsia" w:hint="eastAsia"/>
          <w:b/>
          <w:bCs/>
        </w:rPr>
        <w:t>（二）价格评审优惠</w:t>
      </w:r>
    </w:p>
    <w:p>
      <w:pPr>
        <w:spacing w:line="360" w:lineRule="auto"/>
        <w:ind w:firstLine="372" w:firstLineChars="177"/>
        <w:rPr>
          <w:rFonts w:asciiTheme="minorEastAsia" w:eastAsiaTheme="minorEastAsia" w:hAnsiTheme="minorEastAsia" w:cs="仿宋"/>
          <w:szCs w:val="21"/>
        </w:rPr>
      </w:pPr>
      <w:r>
        <w:rPr>
          <w:rFonts w:asciiTheme="minorEastAsia" w:eastAsiaTheme="minorEastAsia" w:hAnsiTheme="minorEastAsia" w:hint="eastAsia"/>
          <w:szCs w:val="21"/>
        </w:rPr>
        <w:t>□</w:t>
      </w:r>
      <w:r>
        <w:rPr>
          <w:rFonts w:hAnsi="宋体" w:hint="eastAsia"/>
          <w:szCs w:val="24"/>
        </w:rPr>
        <w:t>预留份额专门面向中小企业采购的采购项目或采购包</w:t>
      </w:r>
      <w:r>
        <w:rPr>
          <w:rFonts w:asciiTheme="minorEastAsia" w:eastAsiaTheme="minorEastAsia" w:hAnsiTheme="minorEastAsia" w:cs="仿宋" w:hint="eastAsia"/>
          <w:szCs w:val="21"/>
        </w:rPr>
        <w:t>：不执行价格评审优惠的扶持政策。</w:t>
      </w:r>
    </w:p>
    <w:p>
      <w:pPr>
        <w:widowControl/>
        <w:spacing w:line="360" w:lineRule="auto"/>
        <w:ind w:firstLine="372" w:firstLineChars="177"/>
        <w:jc w:val="left"/>
        <w:rPr>
          <w:rFonts w:asciiTheme="minorEastAsia" w:eastAsiaTheme="minorEastAsia" w:hAnsiTheme="minorEastAsia" w:cs="仿宋"/>
          <w:szCs w:val="21"/>
        </w:rPr>
      </w:pPr>
      <w:r>
        <w:rPr>
          <w:rFonts w:ascii="宋体" w:eastAsia="MS Mincho" w:hAnsiTheme="minorEastAsia" w:cs="MS Mincho" w:hint="eastAsia"/>
          <w:kern w:val="0"/>
          <w:szCs w:val="21"/>
        </w:rPr>
        <w:t>☑</w:t>
      </w:r>
      <w:r>
        <w:rPr>
          <w:rFonts w:ascii="Segoe UI Symbol" w:hAnsi="Segoe UI Symbol" w:hint="eastAsia"/>
          <w:szCs w:val="24"/>
        </w:rPr>
        <w:t>未</w:t>
      </w:r>
      <w:r>
        <w:rPr>
          <w:rFonts w:hAnsi="宋体" w:hint="eastAsia"/>
          <w:szCs w:val="24"/>
        </w:rPr>
        <w:t>预留份额专门面向中小企业采购的采购项目或采购包</w:t>
      </w:r>
      <w:r>
        <w:rPr>
          <w:rFonts w:asciiTheme="minorEastAsia" w:eastAsiaTheme="minorEastAsia" w:hAnsiTheme="minorEastAsia" w:hint="eastAsia"/>
          <w:szCs w:val="21"/>
        </w:rPr>
        <w:t>：</w:t>
      </w:r>
    </w:p>
    <w:p>
      <w:pPr>
        <w:spacing w:line="360" w:lineRule="auto"/>
        <w:ind w:firstLine="424" w:firstLineChars="202"/>
        <w:rPr>
          <w:rFonts w:asciiTheme="minorEastAsia" w:eastAsiaTheme="minorEastAsia" w:hAnsiTheme="minorEastAsia"/>
        </w:rPr>
      </w:pPr>
      <w:r>
        <w:rPr>
          <w:rFonts w:asciiTheme="minorEastAsia" w:eastAsiaTheme="minorEastAsia" w:hAnsiTheme="minorEastAsia" w:hint="eastAsia"/>
        </w:rPr>
        <w:t>（1）本项目服务</w:t>
      </w:r>
      <w:r>
        <w:rPr>
          <w:rFonts w:hAnsi="宋体" w:hint="eastAsia"/>
        </w:rPr>
        <w:t>全部由小型、微型企业承接的，可</w:t>
      </w:r>
      <w:r>
        <w:rPr>
          <w:rFonts w:asciiTheme="minorEastAsia" w:eastAsiaTheme="minorEastAsia" w:hAnsiTheme="minorEastAsia" w:hint="eastAsia"/>
        </w:rPr>
        <w:t>给予投标人</w:t>
      </w:r>
      <w:r>
        <w:rPr>
          <w:rFonts w:asciiTheme="minorEastAsia" w:eastAsiaTheme="minorEastAsia" w:hAnsiTheme="minorEastAsia" w:hint="eastAsia"/>
          <w:b/>
          <w:u w:val="single"/>
        </w:rPr>
        <w:t xml:space="preserve">  10  </w:t>
      </w:r>
      <w:r>
        <w:rPr>
          <w:rFonts w:asciiTheme="minorEastAsia" w:eastAsiaTheme="minorEastAsia" w:hAnsiTheme="minorEastAsia" w:hint="eastAsia"/>
          <w:b/>
        </w:rPr>
        <w:t>%（请在10%-20%范围内选择）</w:t>
      </w:r>
      <w:r>
        <w:rPr>
          <w:rFonts w:asciiTheme="minorEastAsia" w:eastAsiaTheme="minorEastAsia" w:hAnsiTheme="minorEastAsia" w:hint="eastAsia"/>
        </w:rPr>
        <w:t>的价格扣除</w:t>
      </w:r>
      <w:r>
        <w:rPr>
          <w:rFonts w:ascii="宋体" w:hAnsi="宋体" w:hint="eastAsia"/>
        </w:rPr>
        <w:t>，</w:t>
      </w:r>
      <w:r>
        <w:rPr>
          <w:rFonts w:asciiTheme="minorEastAsia" w:eastAsiaTheme="minorEastAsia" w:hAnsiTheme="minorEastAsia" w:hint="eastAsia"/>
        </w:rPr>
        <w:t>用扣除后的价格参与评审。如供应商为</w:t>
      </w:r>
      <w:r>
        <w:rPr>
          <w:rFonts w:hAnsi="宋体" w:hint="eastAsia"/>
        </w:rPr>
        <w:t>监狱企业</w:t>
      </w:r>
      <w:r>
        <w:rPr>
          <w:rFonts w:hAnsi="宋体" w:hint="eastAsia"/>
          <w:szCs w:val="21"/>
        </w:rPr>
        <w:t>或残疾人福利性单位</w:t>
      </w:r>
      <w:r>
        <w:rPr>
          <w:rFonts w:hAnsi="宋体" w:hint="eastAsia"/>
        </w:rPr>
        <w:t>视同小微企业享受以上价格扣除；</w:t>
      </w:r>
      <w:r>
        <w:rPr>
          <w:rFonts w:asciiTheme="minorEastAsia" w:eastAsiaTheme="minorEastAsia" w:hAnsiTheme="minorEastAsia" w:hint="eastAsia"/>
        </w:rPr>
        <w:t>对于同时属于小微企业、监狱企业或残疾人福利性单位的，不重复进行价格扣除。</w:t>
      </w:r>
    </w:p>
    <w:p>
      <w:pPr>
        <w:spacing w:line="360" w:lineRule="auto"/>
        <w:ind w:firstLine="424" w:firstLineChars="202"/>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b/>
        </w:rPr>
        <w:t xml:space="preserve"> </w:t>
      </w:r>
      <w:r>
        <w:rPr>
          <w:rFonts w:asciiTheme="minorEastAsia" w:eastAsiaTheme="minorEastAsia" w:hAnsiTheme="minorEastAsia" w:hint="eastAsia"/>
          <w:b/>
        </w:rPr>
        <w:t>（请在4</w:t>
      </w:r>
      <w:r>
        <w:rPr>
          <w:rFonts w:asciiTheme="minorEastAsia" w:eastAsiaTheme="minorEastAsia" w:hAnsiTheme="minorEastAsia"/>
          <w:b/>
        </w:rPr>
        <w:t>%-</w:t>
      </w:r>
      <w:r>
        <w:rPr>
          <w:rFonts w:asciiTheme="minorEastAsia" w:eastAsiaTheme="minorEastAsia" w:hAnsiTheme="minorEastAsia" w:hint="eastAsia"/>
          <w:b/>
        </w:rPr>
        <w:t>6</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r>
        <w:rPr>
          <w:rFonts w:ascii="宋体" w:hAnsi="宋体" w:hint="eastAsia"/>
        </w:rPr>
        <w:t>，用扣除后的价格参与评审</w:t>
      </w:r>
      <w:r>
        <w:rPr>
          <w:rFonts w:asciiTheme="minorEastAsia" w:eastAsiaTheme="minorEastAsia" w:hAnsiTheme="minorEastAsia" w:hint="eastAsia"/>
        </w:rPr>
        <w:t>。联合体各方均为小型、微型企业、监狱企业或</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rPr>
        <w:t>第（1）项</w:t>
      </w:r>
      <w:r>
        <w:rPr>
          <w:rFonts w:asciiTheme="minorEastAsia" w:eastAsiaTheme="minorEastAsia" w:hAnsiTheme="minorEastAsia" w:hint="eastAsia"/>
        </w:rPr>
        <w:t>的评审优惠。</w:t>
      </w:r>
    </w:p>
    <w:p>
      <w:pPr>
        <w:spacing w:after="60" w:line="360" w:lineRule="auto"/>
        <w:ind w:firstLine="424" w:firstLineChars="202"/>
        <w:rPr>
          <w:rFonts w:ascii="宋体" w:hAnsi="宋体"/>
        </w:rPr>
      </w:pPr>
      <w:r>
        <w:rPr>
          <w:rFonts w:ascii="宋体" w:hAnsi="宋体" w:hint="eastAsia"/>
        </w:rPr>
        <w:t>（3）分包意向协议约定，小型、微型企业的协议合同金额占到合同总金额30%以上的，可给予投标人</w:t>
      </w:r>
      <w:r>
        <w:rPr>
          <w:rFonts w:ascii="宋体" w:hAnsi="宋体" w:hint="eastAsia"/>
          <w:b/>
          <w:u w:val="single"/>
        </w:rPr>
        <w:t xml:space="preserve">  </w:t>
      </w:r>
      <w:r>
        <w:rPr>
          <w:rFonts w:asciiTheme="minorEastAsia" w:eastAsiaTheme="minorEastAsia" w:hAnsiTheme="minorEastAsia" w:hint="eastAsia"/>
          <w:b/>
          <w:u w:val="single"/>
        </w:rPr>
        <w:t xml:space="preserve">/  </w:t>
      </w:r>
      <w:r>
        <w:rPr>
          <w:rFonts w:asciiTheme="minorEastAsia" w:eastAsiaTheme="minorEastAsia" w:hAnsiTheme="minorEastAsia" w:hint="eastAsia"/>
          <w:b/>
        </w:rPr>
        <w:t>%</w:t>
      </w:r>
      <w:r>
        <w:rPr>
          <w:rFonts w:asciiTheme="minorEastAsia" w:eastAsiaTheme="minorEastAsia" w:hAnsiTheme="minorEastAsia"/>
          <w:b/>
        </w:rPr>
        <w:t xml:space="preserve"> </w:t>
      </w:r>
      <w:r>
        <w:rPr>
          <w:rFonts w:asciiTheme="minorEastAsia" w:eastAsiaTheme="minorEastAsia" w:hAnsiTheme="minorEastAsia" w:hint="eastAsia"/>
          <w:b/>
        </w:rPr>
        <w:t>（请在4</w:t>
      </w:r>
      <w:r>
        <w:rPr>
          <w:rFonts w:asciiTheme="minorEastAsia" w:eastAsiaTheme="minorEastAsia" w:hAnsiTheme="minorEastAsia"/>
          <w:b/>
        </w:rPr>
        <w:t>%-</w:t>
      </w:r>
      <w:r>
        <w:rPr>
          <w:rFonts w:asciiTheme="minorEastAsia" w:eastAsiaTheme="minorEastAsia" w:hAnsiTheme="minorEastAsia" w:hint="eastAsia"/>
          <w:b/>
        </w:rPr>
        <w:t>6</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r>
        <w:rPr>
          <w:rFonts w:ascii="宋体" w:hAnsi="宋体" w:hint="eastAsia"/>
        </w:rPr>
        <w:t>，用扣除后的价格参与评审。</w:t>
      </w:r>
    </w:p>
    <w:p>
      <w:pPr>
        <w:spacing w:after="60" w:line="360" w:lineRule="auto"/>
        <w:ind w:firstLine="424" w:firstLineChars="202"/>
        <w:rPr>
          <w:rFonts w:ascii="宋体" w:hAnsi="宋体"/>
        </w:rPr>
      </w:pPr>
      <w:r>
        <w:rPr>
          <w:rFonts w:ascii="宋体" w:hAnsi="宋体" w:hint="eastAsia"/>
        </w:rPr>
        <w:t>（4）优惠主体资格的认定资料为《中小企业声明函》、《残疾人福利性单位声明函》以及《监狱企业声明函》等承诺性质的资料（</w:t>
      </w:r>
      <w:r>
        <w:rPr>
          <w:rFonts w:ascii="宋体" w:hAnsi="宋体" w:cs="宋体" w:hint="eastAsia"/>
          <w:szCs w:val="21"/>
        </w:rPr>
        <w:t>格式详见招标文件第三章</w:t>
      </w:r>
      <w:r>
        <w:rPr>
          <w:rFonts w:ascii="宋体" w:hAnsi="宋体" w:hint="eastAsia"/>
        </w:rPr>
        <w:t>）；监狱企业或者代理提供监狱企业货物的供应商如需享受优惠政策，除上述资料外，还须提供省级以上监狱管理局、戒毒管理局出具的监狱企业证明文件。</w:t>
      </w:r>
    </w:p>
    <w:p>
      <w:pPr>
        <w:spacing w:line="360" w:lineRule="auto"/>
        <w:ind w:firstLine="420" w:firstLineChars="200"/>
        <w:rPr>
          <w:rFonts w:ascii="宋体" w:hAnsi="宋体"/>
          <w:b/>
          <w:szCs w:val="21"/>
        </w:rPr>
      </w:pPr>
      <w:r>
        <w:rPr>
          <w:rFonts w:asciiTheme="minorEastAsia" w:eastAsiaTheme="minorEastAsia" w:hAnsiTheme="minorEastAsia" w:hint="eastAsia"/>
          <w:b/>
          <w:szCs w:val="21"/>
        </w:rPr>
        <w:t>四、</w:t>
      </w:r>
      <w:r>
        <w:rPr>
          <w:rFonts w:hint="eastAsia"/>
          <w:b/>
        </w:rPr>
        <w:t>其他说明</w:t>
      </w:r>
    </w:p>
    <w:p>
      <w:pPr>
        <w:spacing w:line="360" w:lineRule="auto"/>
        <w:ind w:firstLine="420" w:firstLineChars="200"/>
        <w:rPr>
          <w:rFonts w:asciiTheme="minorEastAsia" w:eastAsiaTheme="minorEastAsia" w:hAnsiTheme="minorEastAsia"/>
        </w:rPr>
      </w:pPr>
      <w:r>
        <w:rPr>
          <w:rFonts w:asciiTheme="minorEastAsia" w:eastAsiaTheme="minorEastAsia" w:hAnsiTheme="minorEastAsia" w:hint="eastAsia"/>
        </w:rPr>
        <w:t>拟采购的服务如涉及《关于调整优化节能产品环境标志产品政府采购执行机制的通知》（财库〔2019〕9号）、《关于印发环境标志产品政府采购品目清单的通知》（财库〔2019〕18号）和《关于印发节能产品政府采购品目清单的通知》（财库〔2019〕19号）品目清单范围内的产品，应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适当评审加分。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360" w:lineRule="auto"/>
        <w:ind w:firstLine="420" w:firstLineChars="200"/>
        <w:rPr>
          <w:rFonts w:asciiTheme="minorEastAsia" w:eastAsiaTheme="minorEastAsia" w:hAnsiTheme="minorEastAsia"/>
        </w:rPr>
      </w:pPr>
      <w:r>
        <w:rPr>
          <w:rFonts w:asciiTheme="minorEastAsia" w:eastAsiaTheme="minorEastAsia" w:hAnsiTheme="minorEastAsia" w:hint="eastAsia"/>
        </w:rPr>
        <w:t>为缓解中小企业融资难题，深圳市推出政府采购订单融资改革举措。订单融资具体流程及试点金融机构订单融资服务承诺可参阅深圳市政府采购监管网（zfcg.sz.gov.cn）政府采购订单融资栏目。</w:t>
      </w:r>
    </w:p>
    <w:p/>
    <w:p>
      <w:pPr>
        <w:widowControl/>
        <w:jc w:val="left"/>
        <w:rPr>
          <w:rFonts w:ascii="宋体" w:eastAsia="黑体" w:hAnsi="宋体"/>
          <w:b/>
          <w:bCs/>
          <w:kern w:val="44"/>
          <w:sz w:val="28"/>
          <w:szCs w:val="44"/>
        </w:rPr>
      </w:pPr>
      <w:r>
        <w:br w:type="page"/>
      </w:r>
    </w:p>
    <w:p>
      <w:pPr>
        <w:keepNext/>
        <w:keepLines/>
        <w:spacing w:before="340" w:after="330" w:line="360" w:lineRule="auto"/>
        <w:jc w:val="center"/>
        <w:outlineLvl w:val="0"/>
        <w:rPr>
          <w:rFonts w:ascii="宋体" w:eastAsia="黑体" w:hAnsi="宋体"/>
          <w:b/>
          <w:bCs/>
          <w:kern w:val="44"/>
          <w:sz w:val="28"/>
          <w:szCs w:val="44"/>
        </w:rPr>
      </w:pPr>
      <w:r>
        <w:rPr>
          <w:rFonts w:ascii="宋体" w:eastAsia="黑体" w:hAnsi="宋体" w:hint="eastAsia"/>
          <w:b/>
          <w:bCs/>
          <w:kern w:val="44"/>
          <w:sz w:val="28"/>
          <w:szCs w:val="44"/>
        </w:rPr>
        <w:t>目   录</w:t>
      </w:r>
    </w:p>
    <w:p>
      <w:pPr>
        <w:rPr>
          <w:rFonts w:ascii="Times New Roman" w:hAnsi="Times New Roman"/>
          <w:b/>
          <w:sz w:val="24"/>
          <w:szCs w:val="24"/>
        </w:rPr>
      </w:pPr>
      <w:r>
        <w:rPr>
          <w:rFonts w:ascii="Times New Roman" w:hAnsi="Times New Roman" w:hint="eastAsia"/>
          <w:b/>
          <w:sz w:val="24"/>
          <w:szCs w:val="24"/>
        </w:rPr>
        <w:t>第一册  专用条款</w:t>
      </w:r>
    </w:p>
    <w:p>
      <w:pPr>
        <w:ind w:left="630" w:firstLine="412" w:leftChars="300" w:firstLineChars="196"/>
        <w:rPr>
          <w:rFonts w:ascii="宋体" w:hAnsi="宋体"/>
          <w:szCs w:val="21"/>
        </w:rPr>
      </w:pPr>
      <w:r>
        <w:rPr>
          <w:rFonts w:ascii="宋体" w:hAnsi="宋体" w:hint="eastAsia"/>
          <w:szCs w:val="21"/>
        </w:rPr>
        <w:t>关键信息</w:t>
      </w:r>
    </w:p>
    <w:p>
      <w:pPr>
        <w:ind w:left="630" w:firstLine="412" w:leftChars="300" w:firstLineChars="196"/>
        <w:rPr>
          <w:rFonts w:ascii="宋体" w:hAnsi="宋体"/>
          <w:szCs w:val="21"/>
        </w:rPr>
      </w:pPr>
      <w:r>
        <w:rPr>
          <w:rFonts w:ascii="宋体" w:hAnsi="宋体" w:hint="eastAsia"/>
          <w:szCs w:val="21"/>
        </w:rPr>
        <w:t>第一章  招标公告</w:t>
      </w:r>
    </w:p>
    <w:p>
      <w:pPr>
        <w:ind w:left="630" w:firstLine="412" w:leftChars="300" w:firstLineChars="196"/>
        <w:rPr>
          <w:rFonts w:ascii="宋体" w:hAnsi="宋体"/>
          <w:szCs w:val="21"/>
        </w:rPr>
      </w:pPr>
      <w:r>
        <w:rPr>
          <w:rFonts w:ascii="宋体" w:hAnsi="宋体" w:hint="eastAsia"/>
          <w:szCs w:val="21"/>
        </w:rPr>
        <w:t>第二章  招标项目需求</w:t>
      </w:r>
    </w:p>
    <w:p>
      <w:pPr>
        <w:ind w:left="630" w:firstLine="412" w:leftChars="300" w:firstLineChars="196"/>
        <w:rPr>
          <w:rFonts w:ascii="宋体" w:hAnsi="宋体"/>
          <w:szCs w:val="21"/>
        </w:rPr>
      </w:pPr>
      <w:r>
        <w:rPr>
          <w:rFonts w:ascii="宋体" w:hAnsi="宋体" w:hint="eastAsia"/>
          <w:szCs w:val="21"/>
        </w:rPr>
        <w:t>第三章  投标文件格式、附件</w:t>
      </w:r>
    </w:p>
    <w:p>
      <w:pPr>
        <w:ind w:left="630" w:firstLine="412" w:leftChars="300" w:firstLineChars="196"/>
        <w:rPr>
          <w:rFonts w:ascii="宋体" w:hAnsi="宋体"/>
          <w:szCs w:val="21"/>
        </w:rPr>
      </w:pPr>
      <w:r>
        <w:rPr>
          <w:rFonts w:ascii="宋体" w:hAnsi="宋体" w:hint="eastAsia"/>
          <w:szCs w:val="21"/>
        </w:rPr>
        <w:t>第四章  合同及履约情况反馈格式</w:t>
      </w:r>
    </w:p>
    <w:p>
      <w:pPr>
        <w:ind w:left="630" w:firstLine="412" w:leftChars="300" w:firstLineChars="196"/>
        <w:rPr>
          <w:rFonts w:ascii="宋体" w:hAnsi="宋体"/>
          <w:szCs w:val="21"/>
        </w:rPr>
      </w:pPr>
      <w:r>
        <w:rPr>
          <w:rFonts w:ascii="宋体" w:hAnsi="宋体" w:hint="eastAsia"/>
          <w:szCs w:val="21"/>
        </w:rPr>
        <w:t>第五章  附件</w:t>
      </w:r>
    </w:p>
    <w:p>
      <w:pPr>
        <w:ind w:left="630" w:firstLine="412" w:leftChars="300" w:firstLineChars="196"/>
        <w:rPr>
          <w:rFonts w:ascii="宋体" w:hAnsi="宋体"/>
          <w:szCs w:val="21"/>
        </w:rPr>
      </w:pPr>
    </w:p>
    <w:p>
      <w:pPr>
        <w:rPr>
          <w:rFonts w:ascii="Times New Roman" w:hAnsi="Times New Roman"/>
          <w:b/>
          <w:sz w:val="24"/>
          <w:szCs w:val="24"/>
        </w:rPr>
      </w:pPr>
    </w:p>
    <w:p>
      <w:pPr>
        <w:rPr>
          <w:rFonts w:ascii="Times New Roman" w:hAnsi="Times New Roman"/>
          <w:b/>
          <w:sz w:val="24"/>
          <w:szCs w:val="24"/>
        </w:rPr>
      </w:pPr>
      <w:r>
        <w:rPr>
          <w:rFonts w:ascii="Times New Roman" w:hAnsi="Times New Roman" w:hint="eastAsia"/>
          <w:b/>
          <w:sz w:val="24"/>
          <w:szCs w:val="24"/>
        </w:rPr>
        <w:t>第二册  通用条款</w:t>
      </w:r>
    </w:p>
    <w:p>
      <w:pPr>
        <w:ind w:left="630" w:firstLine="412" w:leftChars="300" w:firstLineChars="196"/>
        <w:rPr>
          <w:rFonts w:ascii="宋体" w:hAnsi="宋体"/>
          <w:szCs w:val="21"/>
        </w:rPr>
      </w:pPr>
      <w:r>
        <w:rPr>
          <w:rFonts w:ascii="宋体" w:hAnsi="宋体" w:hint="eastAsia"/>
          <w:szCs w:val="21"/>
        </w:rPr>
        <w:t>第一章  总则</w:t>
      </w:r>
    </w:p>
    <w:p>
      <w:pPr>
        <w:ind w:left="630" w:firstLine="412" w:leftChars="300" w:firstLineChars="196"/>
        <w:rPr>
          <w:rFonts w:ascii="宋体" w:hAnsi="宋体"/>
          <w:szCs w:val="21"/>
        </w:rPr>
      </w:pPr>
      <w:r>
        <w:rPr>
          <w:rFonts w:ascii="宋体" w:hAnsi="宋体" w:hint="eastAsia"/>
          <w:szCs w:val="21"/>
        </w:rPr>
        <w:t>第二章  招标文件</w:t>
      </w:r>
    </w:p>
    <w:p>
      <w:pPr>
        <w:ind w:left="630" w:firstLine="412" w:leftChars="300" w:firstLineChars="196"/>
        <w:rPr>
          <w:rFonts w:ascii="宋体" w:hAnsi="宋体"/>
          <w:szCs w:val="21"/>
        </w:rPr>
      </w:pPr>
      <w:r>
        <w:rPr>
          <w:rFonts w:ascii="宋体" w:hAnsi="宋体" w:hint="eastAsia"/>
          <w:szCs w:val="21"/>
        </w:rPr>
        <w:t>第三章  投标文件的编制</w:t>
      </w:r>
    </w:p>
    <w:p>
      <w:pPr>
        <w:ind w:left="630" w:firstLine="412" w:leftChars="300" w:firstLineChars="196"/>
        <w:rPr>
          <w:rFonts w:ascii="宋体" w:hAnsi="宋体"/>
          <w:szCs w:val="21"/>
        </w:rPr>
      </w:pPr>
      <w:r>
        <w:rPr>
          <w:rFonts w:ascii="宋体" w:hAnsi="宋体" w:hint="eastAsia"/>
          <w:szCs w:val="21"/>
        </w:rPr>
        <w:t>第四章  投标文件的递交</w:t>
      </w:r>
    </w:p>
    <w:p>
      <w:pPr>
        <w:ind w:left="630" w:firstLine="412" w:leftChars="300" w:firstLineChars="196"/>
        <w:rPr>
          <w:rFonts w:ascii="宋体" w:hAnsi="宋体"/>
          <w:szCs w:val="21"/>
        </w:rPr>
      </w:pPr>
      <w:r>
        <w:rPr>
          <w:rFonts w:ascii="宋体" w:hAnsi="宋体" w:hint="eastAsia"/>
          <w:szCs w:val="21"/>
        </w:rPr>
        <w:t>第五章  开标</w:t>
      </w:r>
    </w:p>
    <w:p>
      <w:pPr>
        <w:ind w:left="630" w:firstLine="412" w:leftChars="300" w:firstLineChars="196"/>
        <w:rPr>
          <w:rFonts w:ascii="宋体" w:hAnsi="宋体"/>
          <w:szCs w:val="21"/>
        </w:rPr>
      </w:pPr>
      <w:r>
        <w:rPr>
          <w:rFonts w:ascii="宋体" w:hAnsi="宋体" w:hint="eastAsia"/>
          <w:szCs w:val="21"/>
        </w:rPr>
        <w:t>第六章  评标要求</w:t>
      </w:r>
    </w:p>
    <w:p>
      <w:pPr>
        <w:ind w:left="630" w:firstLine="412" w:leftChars="300" w:firstLineChars="196"/>
        <w:rPr>
          <w:rFonts w:ascii="宋体" w:hAnsi="宋体"/>
          <w:szCs w:val="21"/>
        </w:rPr>
      </w:pPr>
      <w:r>
        <w:rPr>
          <w:rFonts w:ascii="宋体" w:hAnsi="宋体" w:hint="eastAsia"/>
          <w:szCs w:val="21"/>
        </w:rPr>
        <w:t>第七章  评标程序及评标方法</w:t>
      </w:r>
    </w:p>
    <w:p>
      <w:pPr>
        <w:ind w:left="630" w:firstLine="412" w:leftChars="300" w:firstLineChars="196"/>
        <w:rPr>
          <w:rFonts w:ascii="宋体" w:hAnsi="宋体"/>
          <w:szCs w:val="21"/>
        </w:rPr>
      </w:pPr>
      <w:r>
        <w:rPr>
          <w:rFonts w:ascii="宋体" w:hAnsi="宋体" w:hint="eastAsia"/>
          <w:szCs w:val="21"/>
        </w:rPr>
        <w:t>第八章  定标及公示</w:t>
      </w:r>
    </w:p>
    <w:p>
      <w:pPr>
        <w:ind w:left="630" w:firstLine="412" w:leftChars="300" w:firstLineChars="196"/>
        <w:rPr>
          <w:rFonts w:ascii="宋体" w:hAnsi="宋体"/>
          <w:szCs w:val="21"/>
        </w:rPr>
      </w:pPr>
      <w:r>
        <w:rPr>
          <w:rFonts w:ascii="宋体" w:hAnsi="宋体" w:hint="eastAsia"/>
          <w:szCs w:val="21"/>
        </w:rPr>
        <w:t>第九章  公开招标失败的后续处理</w:t>
      </w:r>
    </w:p>
    <w:p>
      <w:pPr>
        <w:ind w:left="630" w:firstLine="412" w:leftChars="300" w:firstLineChars="196"/>
        <w:rPr>
          <w:rFonts w:ascii="宋体" w:hAnsi="宋体"/>
          <w:szCs w:val="21"/>
        </w:rPr>
      </w:pPr>
      <w:r>
        <w:rPr>
          <w:rFonts w:ascii="宋体" w:hAnsi="宋体" w:hint="eastAsia"/>
          <w:szCs w:val="21"/>
        </w:rPr>
        <w:t>第十章  合同的授予与备案</w:t>
      </w:r>
    </w:p>
    <w:p>
      <w:pPr>
        <w:ind w:left="630" w:firstLine="412" w:leftChars="300" w:firstLineChars="196"/>
        <w:rPr>
          <w:rFonts w:ascii="宋体" w:hAnsi="宋体"/>
          <w:szCs w:val="21"/>
        </w:rPr>
      </w:pPr>
      <w:r>
        <w:rPr>
          <w:rFonts w:ascii="宋体" w:hAnsi="宋体" w:hint="eastAsia"/>
          <w:szCs w:val="21"/>
        </w:rPr>
        <w:t>第十一章  质疑处理</w:t>
      </w:r>
    </w:p>
    <w:p>
      <w:pPr>
        <w:rPr>
          <w:rFonts w:ascii="Times New Roman" w:hAnsi="Times New Roman"/>
          <w:sz w:val="24"/>
          <w:szCs w:val="24"/>
        </w:rPr>
      </w:pPr>
    </w:p>
    <w:p>
      <w:pPr>
        <w:rPr>
          <w:rFonts w:ascii="Times New Roman" w:hAnsi="Times New Roman"/>
          <w:b/>
          <w:szCs w:val="24"/>
        </w:rPr>
      </w:pPr>
      <w:r>
        <w:rPr>
          <w:rFonts w:ascii="Times New Roman" w:hAnsi="Times New Roman" w:hint="eastAsia"/>
          <w:b/>
          <w:szCs w:val="24"/>
        </w:rPr>
        <w:t>备注：</w:t>
      </w:r>
    </w:p>
    <w:p>
      <w:pPr>
        <w:ind w:firstLine="420" w:firstLineChars="200"/>
        <w:rPr>
          <w:rFonts w:ascii="Times New Roman" w:hAnsi="Times New Roman"/>
          <w:b/>
          <w:szCs w:val="24"/>
        </w:rPr>
      </w:pPr>
      <w:r>
        <w:rPr>
          <w:rFonts w:ascii="宋体" w:hAnsi="宋体" w:hint="eastAsia"/>
          <w:szCs w:val="21"/>
        </w:rPr>
        <w:t>1.本招标文件分为第一册“专用条款”和第二册“通用条款”。</w:t>
      </w:r>
    </w:p>
    <w:p>
      <w:pPr>
        <w:spacing w:line="360" w:lineRule="auto"/>
        <w:ind w:firstLine="420" w:firstLineChars="200"/>
        <w:jc w:val="left"/>
        <w:rPr>
          <w:rFonts w:ascii="宋体" w:hAnsi="宋体"/>
          <w:szCs w:val="21"/>
        </w:rPr>
      </w:pPr>
      <w:r>
        <w:rPr>
          <w:rFonts w:ascii="宋体" w:hAnsi="宋体" w:hint="eastAsia"/>
          <w:szCs w:val="21"/>
        </w:rPr>
        <w:t>2.“专用条款”是对本次采购项目的具体要求，包含招标公告、招标项目需求、投标文件格式、合同及履约情况反馈格式等内容。</w:t>
      </w:r>
    </w:p>
    <w:p>
      <w:pPr>
        <w:spacing w:line="360" w:lineRule="auto"/>
        <w:ind w:firstLine="420" w:firstLineChars="200"/>
        <w:jc w:val="left"/>
        <w:rPr>
          <w:rFonts w:ascii="宋体" w:hAnsi="宋体"/>
          <w:szCs w:val="21"/>
        </w:rPr>
      </w:pPr>
      <w:r>
        <w:rPr>
          <w:rFonts w:ascii="宋体" w:hAnsi="宋体" w:hint="eastAsia"/>
          <w:szCs w:val="21"/>
        </w:rPr>
        <w:t>3.“通用条款”是适用于政府采购项目的基础性条款，具有普遍性和通用性。</w:t>
      </w:r>
    </w:p>
    <w:p>
      <w:pPr>
        <w:spacing w:line="360" w:lineRule="auto"/>
        <w:ind w:firstLine="420" w:firstLineChars="200"/>
        <w:jc w:val="left"/>
        <w:rPr>
          <w:rFonts w:ascii="宋体" w:hAnsi="宋体"/>
          <w:szCs w:val="21"/>
        </w:rPr>
      </w:pPr>
      <w:r>
        <w:rPr>
          <w:rFonts w:ascii="宋体" w:hAnsi="宋体" w:hint="eastAsia"/>
          <w:szCs w:val="21"/>
        </w:rPr>
        <w:t>4.当出现“专用条款”和“通用条款”表述不一致或有冲突时，以“专用条款”为准。</w:t>
      </w:r>
    </w:p>
    <w:p>
      <w:pPr>
        <w:rPr>
          <w:rFonts w:ascii="宋体" w:hAnsi="宋体"/>
          <w:szCs w:val="21"/>
        </w:rPr>
      </w:pPr>
    </w:p>
    <w:p>
      <w:pPr>
        <w:widowControl/>
        <w:jc w:val="left"/>
        <w:rPr>
          <w:rFonts w:ascii="宋体" w:eastAsia="黑体" w:hAnsi="宋体"/>
          <w:b/>
          <w:bCs/>
          <w:kern w:val="44"/>
          <w:sz w:val="28"/>
          <w:szCs w:val="44"/>
        </w:rPr>
      </w:pPr>
      <w:r>
        <w:rPr>
          <w:rFonts w:ascii="Times New Roman" w:hAnsi="Times New Roman"/>
          <w:szCs w:val="24"/>
        </w:rPr>
        <w:br w:type="page"/>
      </w:r>
    </w:p>
    <w:p>
      <w:pPr>
        <w:keepNext/>
        <w:keepLines/>
        <w:spacing w:before="340" w:after="330" w:line="360" w:lineRule="auto"/>
        <w:jc w:val="center"/>
        <w:outlineLvl w:val="0"/>
        <w:rPr>
          <w:rFonts w:ascii="宋体" w:eastAsia="黑体" w:hAnsi="宋体"/>
          <w:b/>
          <w:bCs/>
          <w:kern w:val="44"/>
          <w:sz w:val="24"/>
          <w:szCs w:val="44"/>
        </w:rPr>
      </w:pPr>
      <w:r>
        <w:rPr>
          <w:rFonts w:ascii="宋体" w:eastAsia="黑体" w:hAnsi="宋体" w:hint="eastAsia"/>
          <w:b/>
          <w:bCs/>
          <w:kern w:val="44"/>
          <w:sz w:val="28"/>
          <w:szCs w:val="44"/>
        </w:rPr>
        <w:t>第一册  专用条款</w:t>
      </w:r>
    </w:p>
    <w:p>
      <w:pPr>
        <w:keepNext/>
        <w:keepLines/>
        <w:adjustRightInd w:val="0"/>
        <w:spacing w:before="260" w:after="260" w:line="360" w:lineRule="exact"/>
        <w:jc w:val="center"/>
        <w:textAlignment w:val="baseline"/>
        <w:outlineLvl w:val="1"/>
        <w:rPr>
          <w:rFonts w:ascii="宋体" w:hAnsi="宋体"/>
          <w:b/>
          <w:bCs/>
          <w:kern w:val="0"/>
          <w:sz w:val="24"/>
          <w:szCs w:val="20"/>
        </w:rPr>
      </w:pPr>
      <w:r>
        <w:rPr>
          <w:rFonts w:ascii="宋体" w:hAnsi="宋体" w:hint="eastAsia"/>
          <w:b/>
          <w:bCs/>
          <w:kern w:val="0"/>
          <w:sz w:val="24"/>
          <w:szCs w:val="20"/>
        </w:rPr>
        <w:t>第一章  招标公告</w:t>
      </w:r>
    </w:p>
    <w:p>
      <w:pPr>
        <w:spacing w:line="360" w:lineRule="exact"/>
        <w:rPr>
          <w:rFonts w:ascii="宋体" w:hAnsi="宋体"/>
          <w:vanish/>
          <w:szCs w:val="21"/>
        </w:rPr>
      </w:pPr>
    </w:p>
    <w:p>
      <w:pPr>
        <w:widowControl/>
        <w:spacing w:line="360" w:lineRule="exact"/>
        <w:rPr>
          <w:rFonts w:ascii="宋体" w:hAnsi="宋体"/>
          <w:szCs w:val="24"/>
        </w:rPr>
      </w:pPr>
      <w:bookmarkStart w:id="1" w:name="OLE_LINK1"/>
      <w:bookmarkStart w:id="2" w:name="OLE_LINK2"/>
      <w:r>
        <w:rPr>
          <w:rFonts w:ascii="宋体" w:hAnsi="宋体"/>
          <w:szCs w:val="24"/>
        </w:rPr>
        <w:t>项目概况</w:t>
      </w:r>
      <w:r>
        <w:rPr>
          <w:rFonts w:ascii="宋体" w:hAnsi="宋体" w:hint="eastAsia"/>
          <w:szCs w:val="24"/>
        </w:rPr>
        <w:t>:</w:t>
      </w:r>
    </w:p>
    <w:p>
      <w:pPr>
        <w:widowControl/>
        <w:spacing w:line="360" w:lineRule="exact"/>
        <w:ind w:firstLine="424" w:firstLineChars="202"/>
        <w:rPr>
          <w:rFonts w:ascii="宋体" w:hAnsi="宋体"/>
          <w:szCs w:val="24"/>
        </w:rPr>
      </w:pPr>
      <w:r>
        <w:rPr>
          <w:rFonts w:asciiTheme="minorEastAsia" w:eastAsiaTheme="minorEastAsia" w:hAnsiTheme="minorEastAsia" w:hint="eastAsia"/>
          <w:szCs w:val="24"/>
          <w:lang w:eastAsia="zh-CN"/>
        </w:rPr>
        <w:t>2024年高压设施维护服务</w:t>
      </w:r>
      <w:r>
        <w:rPr>
          <w:rFonts w:asciiTheme="minorEastAsia" w:eastAsiaTheme="minorEastAsia" w:hAnsiTheme="minorEastAsia" w:hint="eastAsia"/>
          <w:szCs w:val="24"/>
        </w:rPr>
        <w:t>招标项目</w:t>
      </w:r>
      <w:r>
        <w:rPr>
          <w:rFonts w:ascii="宋体" w:hAnsi="宋体"/>
          <w:szCs w:val="24"/>
        </w:rPr>
        <w:t xml:space="preserve">的潜在投标人应在（本公告附件中）获取招标文件，并于 </w:t>
      </w:r>
      <w:r>
        <w:rPr>
          <w:rFonts w:ascii="宋体" w:hAnsi="宋体"/>
          <w:b/>
          <w:szCs w:val="24"/>
          <w:u w:val="single"/>
        </w:rPr>
        <w:t>2023年</w:t>
      </w:r>
      <w:r>
        <w:rPr>
          <w:rFonts w:ascii="宋体" w:hAnsi="宋体" w:hint="eastAsia"/>
          <w:b/>
          <w:szCs w:val="24"/>
          <w:u w:val="single"/>
          <w:lang w:val="en-US" w:eastAsia="zh-CN"/>
        </w:rPr>
        <w:t>12</w:t>
      </w:r>
      <w:r>
        <w:rPr>
          <w:rFonts w:ascii="宋体" w:hAnsi="宋体"/>
          <w:b/>
          <w:szCs w:val="24"/>
          <w:u w:val="single"/>
        </w:rPr>
        <w:t>月</w:t>
      </w:r>
      <w:r>
        <w:rPr>
          <w:rFonts w:ascii="宋体" w:hAnsi="宋体" w:hint="eastAsia"/>
          <w:b/>
          <w:szCs w:val="24"/>
          <w:u w:val="single"/>
          <w:lang w:val="en-US" w:eastAsia="zh-CN"/>
        </w:rPr>
        <w:t>20</w:t>
      </w:r>
      <w:r>
        <w:rPr>
          <w:rFonts w:ascii="宋体" w:hAnsi="宋体"/>
          <w:b/>
          <w:szCs w:val="24"/>
          <w:u w:val="single"/>
        </w:rPr>
        <w:t>日</w:t>
      </w:r>
      <w:r>
        <w:rPr>
          <w:rFonts w:ascii="宋体" w:hAnsi="宋体" w:hint="eastAsia"/>
          <w:b/>
          <w:szCs w:val="24"/>
          <w:u w:val="single"/>
        </w:rPr>
        <w:t>14:00</w:t>
      </w:r>
      <w:r>
        <w:rPr>
          <w:rFonts w:ascii="宋体" w:hAnsi="宋体"/>
          <w:b/>
          <w:szCs w:val="24"/>
          <w:u w:val="single"/>
        </w:rPr>
        <w:t>（北京时间）</w:t>
      </w:r>
      <w:r>
        <w:rPr>
          <w:rFonts w:ascii="宋体" w:hAnsi="宋体"/>
          <w:szCs w:val="24"/>
        </w:rPr>
        <w:t xml:space="preserve">前递交投标文件。 </w:t>
      </w:r>
    </w:p>
    <w:p>
      <w:pPr>
        <w:widowControl/>
        <w:spacing w:line="360" w:lineRule="exact"/>
        <w:rPr>
          <w:rFonts w:ascii="宋体" w:hAnsi="宋体"/>
          <w:szCs w:val="24"/>
        </w:rPr>
      </w:pPr>
    </w:p>
    <w:p>
      <w:pPr>
        <w:widowControl/>
        <w:spacing w:line="360" w:lineRule="exact"/>
        <w:rPr>
          <w:rFonts w:ascii="宋体" w:hAnsi="宋体"/>
          <w:szCs w:val="24"/>
        </w:rPr>
      </w:pPr>
      <w:r>
        <w:rPr>
          <w:rFonts w:ascii="宋体" w:hAnsi="宋体"/>
          <w:szCs w:val="24"/>
        </w:rPr>
        <w:t>一、项目基本情况</w:t>
      </w:r>
    </w:p>
    <w:p>
      <w:pPr>
        <w:widowControl/>
        <w:spacing w:line="360" w:lineRule="exact"/>
        <w:ind w:firstLine="424" w:firstLineChars="202"/>
        <w:rPr>
          <w:rFonts w:ascii="宋体" w:hAnsi="宋体"/>
          <w:szCs w:val="21"/>
        </w:rPr>
      </w:pPr>
      <w:r>
        <w:rPr>
          <w:rFonts w:ascii="宋体" w:hAnsi="宋体"/>
          <w:szCs w:val="21"/>
        </w:rPr>
        <w:t>1</w:t>
      </w:r>
      <w:r>
        <w:rPr>
          <w:rFonts w:ascii="宋体" w:hAnsi="宋体" w:hint="eastAsia"/>
          <w:szCs w:val="21"/>
        </w:rPr>
        <w:t>、</w:t>
      </w:r>
      <w:r>
        <w:rPr>
          <w:rFonts w:ascii="宋体" w:hAnsi="宋体"/>
          <w:szCs w:val="21"/>
        </w:rPr>
        <w:t>项目编号：</w:t>
      </w:r>
      <w:r>
        <w:rPr>
          <w:rFonts w:ascii="宋体" w:hAnsi="宋体" w:hint="eastAsia"/>
          <w:szCs w:val="21"/>
          <w:lang w:eastAsia="zh-CN"/>
        </w:rPr>
        <w:t>SZDL2023002471</w:t>
      </w:r>
    </w:p>
    <w:p>
      <w:pPr>
        <w:widowControl/>
        <w:spacing w:line="360" w:lineRule="exact"/>
        <w:ind w:firstLine="424" w:firstLineChars="202"/>
        <w:rPr>
          <w:rFonts w:ascii="宋体" w:eastAsia="宋体" w:hAnsi="宋体" w:hint="eastAsia"/>
          <w:szCs w:val="21"/>
          <w:lang w:eastAsia="zh-CN"/>
        </w:rPr>
      </w:pPr>
      <w:r>
        <w:rPr>
          <w:rFonts w:ascii="宋体" w:hAnsi="宋体"/>
          <w:szCs w:val="21"/>
        </w:rPr>
        <w:t>2</w:t>
      </w:r>
      <w:r>
        <w:rPr>
          <w:rFonts w:ascii="宋体" w:hAnsi="宋体" w:hint="eastAsia"/>
          <w:szCs w:val="21"/>
        </w:rPr>
        <w:t>、</w:t>
      </w:r>
      <w:r>
        <w:rPr>
          <w:rFonts w:ascii="宋体" w:hAnsi="宋体"/>
          <w:szCs w:val="21"/>
        </w:rPr>
        <w:t>项目名称：</w:t>
      </w:r>
      <w:r>
        <w:rPr>
          <w:rFonts w:ascii="宋体" w:hAnsi="宋体" w:hint="eastAsia"/>
          <w:szCs w:val="21"/>
          <w:lang w:eastAsia="zh-CN"/>
        </w:rPr>
        <w:t>2024年高压设施维护服务</w:t>
      </w:r>
    </w:p>
    <w:p>
      <w:pPr>
        <w:widowControl/>
        <w:spacing w:line="360" w:lineRule="exact"/>
        <w:ind w:firstLine="424" w:firstLineChars="202"/>
        <w:rPr>
          <w:rFonts w:ascii="宋体" w:hAnsi="宋体"/>
          <w:szCs w:val="21"/>
        </w:rPr>
      </w:pPr>
      <w:r>
        <w:rPr>
          <w:rFonts w:ascii="宋体" w:hAnsi="宋体"/>
          <w:szCs w:val="21"/>
        </w:rPr>
        <w:t>3</w:t>
      </w:r>
      <w:r>
        <w:rPr>
          <w:rFonts w:ascii="宋体" w:hAnsi="宋体" w:hint="eastAsia"/>
          <w:szCs w:val="21"/>
        </w:rPr>
        <w:t>、</w:t>
      </w:r>
      <w:r>
        <w:rPr>
          <w:rFonts w:ascii="宋体" w:hAnsi="宋体"/>
          <w:szCs w:val="21"/>
        </w:rPr>
        <w:t>预算金额：</w:t>
      </w:r>
      <w:r>
        <w:rPr>
          <w:rFonts w:ascii="宋体" w:hAnsi="宋体" w:hint="eastAsia"/>
          <w:szCs w:val="21"/>
        </w:rPr>
        <w:t>人民币6,30</w:t>
      </w:r>
      <w:r>
        <w:rPr>
          <w:rFonts w:ascii="宋体" w:hAnsi="宋体"/>
          <w:szCs w:val="21"/>
        </w:rPr>
        <w:t>0,000.00元</w:t>
      </w:r>
    </w:p>
    <w:p>
      <w:pPr>
        <w:widowControl/>
        <w:spacing w:line="360" w:lineRule="exact"/>
        <w:ind w:firstLine="424" w:firstLineChars="202"/>
        <w:rPr>
          <w:rFonts w:ascii="宋体" w:hAnsi="宋体"/>
          <w:szCs w:val="21"/>
        </w:rPr>
      </w:pPr>
      <w:r>
        <w:rPr>
          <w:rFonts w:ascii="宋体" w:hAnsi="宋体"/>
          <w:szCs w:val="21"/>
        </w:rPr>
        <w:t>4</w:t>
      </w:r>
      <w:r>
        <w:rPr>
          <w:rFonts w:ascii="宋体" w:hAnsi="宋体" w:hint="eastAsia"/>
          <w:szCs w:val="21"/>
        </w:rPr>
        <w:t>、</w:t>
      </w:r>
      <w:r>
        <w:rPr>
          <w:rFonts w:ascii="宋体" w:hAnsi="宋体"/>
          <w:szCs w:val="21"/>
        </w:rPr>
        <w:t>最高限价：</w:t>
      </w:r>
      <w:r>
        <w:rPr>
          <w:rFonts w:ascii="宋体" w:hAnsi="宋体" w:hint="eastAsia"/>
          <w:szCs w:val="21"/>
        </w:rPr>
        <w:t>人民币6,300,000.00</w:t>
      </w:r>
      <w:r>
        <w:rPr>
          <w:rFonts w:ascii="宋体" w:hAnsi="宋体"/>
          <w:szCs w:val="21"/>
        </w:rPr>
        <w:t>元</w:t>
      </w:r>
    </w:p>
    <w:p>
      <w:pPr>
        <w:widowControl/>
        <w:spacing w:line="360" w:lineRule="exact"/>
        <w:ind w:firstLine="424" w:firstLineChars="202"/>
        <w:rPr>
          <w:rFonts w:ascii="宋体" w:hAnsi="宋体"/>
          <w:szCs w:val="21"/>
        </w:rPr>
      </w:pPr>
      <w:r>
        <w:rPr>
          <w:rFonts w:ascii="宋体" w:hAnsi="宋体"/>
          <w:szCs w:val="21"/>
        </w:rPr>
        <w:t>5</w:t>
      </w:r>
      <w:r>
        <w:rPr>
          <w:rFonts w:ascii="宋体" w:hAnsi="宋体" w:hint="eastAsia"/>
          <w:szCs w:val="21"/>
        </w:rPr>
        <w:t>、</w:t>
      </w:r>
      <w:r>
        <w:rPr>
          <w:rFonts w:ascii="宋体" w:hAnsi="宋体"/>
          <w:szCs w:val="21"/>
        </w:rPr>
        <w:t>采购需求：</w:t>
      </w:r>
    </w:p>
    <w:tbl>
      <w:tblPr>
        <w:tblStyle w:val="TableNormal"/>
        <w:tblW w:w="9214" w:type="dxa"/>
        <w:tblInd w:w="6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60" w:type="dxa"/>
          <w:left w:w="60" w:type="dxa"/>
          <w:bottom w:w="60" w:type="dxa"/>
          <w:right w:w="60" w:type="dxa"/>
        </w:tblCellMar>
      </w:tblPr>
      <w:tblGrid>
        <w:gridCol w:w="3261"/>
        <w:gridCol w:w="850"/>
        <w:gridCol w:w="992"/>
        <w:gridCol w:w="2694"/>
        <w:gridCol w:w="1417"/>
      </w:tblGrid>
      <w:tr>
        <w:tblPrEx>
          <w:tblW w:w="9214" w:type="dxa"/>
          <w:tblInd w:w="6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60" w:type="dxa"/>
            <w:left w:w="60" w:type="dxa"/>
            <w:bottom w:w="60" w:type="dxa"/>
            <w:right w:w="60" w:type="dxa"/>
          </w:tblCellMar>
        </w:tblPrEx>
        <w:trPr>
          <w:trHeight w:val="462"/>
        </w:trPr>
        <w:tc>
          <w:tcPr>
            <w:tcW w:w="3261" w:type="dxa"/>
            <w:tcBorders>
              <w:top w:val="outset" w:sz="6" w:space="0" w:color="AAAAAA"/>
              <w:left w:val="outset" w:sz="6" w:space="0" w:color="AAAAAA"/>
              <w:bottom w:val="outset" w:sz="6" w:space="0" w:color="AAAAAA"/>
              <w:right w:val="outset" w:sz="6" w:space="0" w:color="AAAAAA"/>
            </w:tcBorders>
            <w:shd w:val="clear" w:color="auto" w:fill="ABCDEF"/>
            <w:vAlign w:val="center"/>
          </w:tcPr>
          <w:p>
            <w:pPr>
              <w:widowControl/>
              <w:spacing w:line="360" w:lineRule="exact"/>
              <w:jc w:val="center"/>
              <w:rPr>
                <w:rFonts w:ascii="宋体" w:hAnsi="宋体" w:cs="宋体"/>
                <w:szCs w:val="21"/>
              </w:rPr>
            </w:pPr>
            <w:r>
              <w:rPr>
                <w:rFonts w:ascii="宋体" w:hAnsi="宋体" w:cs="宋体" w:hint="eastAsia"/>
                <w:color w:val="FF0000"/>
                <w:szCs w:val="21"/>
              </w:rPr>
              <w:t>标的名称</w:t>
            </w:r>
          </w:p>
        </w:tc>
        <w:tc>
          <w:tcPr>
            <w:tcW w:w="850" w:type="dxa"/>
            <w:tcBorders>
              <w:top w:val="outset" w:sz="6" w:space="0" w:color="AAAAAA"/>
              <w:left w:val="outset" w:sz="6" w:space="0" w:color="AAAAAA"/>
              <w:bottom w:val="outset" w:sz="6" w:space="0" w:color="AAAAAA"/>
              <w:right w:val="outset" w:sz="6" w:space="0" w:color="AAAAAA"/>
            </w:tcBorders>
            <w:shd w:val="clear" w:color="auto" w:fill="ABCDEF"/>
            <w:vAlign w:val="center"/>
          </w:tcPr>
          <w:p>
            <w:pPr>
              <w:widowControl/>
              <w:spacing w:line="360" w:lineRule="exact"/>
              <w:jc w:val="center"/>
              <w:rPr>
                <w:rFonts w:ascii="宋体" w:hAnsi="宋体" w:cs="宋体"/>
                <w:szCs w:val="21"/>
              </w:rPr>
            </w:pPr>
            <w:r>
              <w:rPr>
                <w:rFonts w:ascii="宋体" w:hAnsi="宋体" w:cs="宋体" w:hint="eastAsia"/>
                <w:szCs w:val="21"/>
              </w:rPr>
              <w:t>数量</w:t>
            </w:r>
          </w:p>
        </w:tc>
        <w:tc>
          <w:tcPr>
            <w:tcW w:w="992" w:type="dxa"/>
            <w:tcBorders>
              <w:top w:val="outset" w:sz="6" w:space="0" w:color="AAAAAA"/>
              <w:left w:val="outset" w:sz="6" w:space="0" w:color="AAAAAA"/>
              <w:bottom w:val="outset" w:sz="6" w:space="0" w:color="AAAAAA"/>
              <w:right w:val="outset" w:sz="6" w:space="0" w:color="AAAAAA"/>
            </w:tcBorders>
            <w:shd w:val="clear" w:color="auto" w:fill="ABCDEF"/>
            <w:vAlign w:val="center"/>
          </w:tcPr>
          <w:p>
            <w:pPr>
              <w:widowControl/>
              <w:spacing w:line="360" w:lineRule="exact"/>
              <w:jc w:val="center"/>
              <w:rPr>
                <w:rFonts w:ascii="宋体" w:hAnsi="宋体" w:cs="宋体"/>
                <w:szCs w:val="21"/>
              </w:rPr>
            </w:pPr>
            <w:r>
              <w:rPr>
                <w:rFonts w:ascii="宋体" w:hAnsi="宋体" w:cs="宋体" w:hint="eastAsia"/>
                <w:szCs w:val="21"/>
              </w:rPr>
              <w:t>单位</w:t>
            </w:r>
          </w:p>
        </w:tc>
        <w:tc>
          <w:tcPr>
            <w:tcW w:w="2694" w:type="dxa"/>
            <w:tcBorders>
              <w:top w:val="outset" w:sz="6" w:space="0" w:color="AAAAAA"/>
              <w:left w:val="outset" w:sz="6" w:space="0" w:color="AAAAAA"/>
              <w:bottom w:val="outset" w:sz="6" w:space="0" w:color="AAAAAA"/>
              <w:right w:val="outset" w:sz="6" w:space="0" w:color="AAAAAA"/>
            </w:tcBorders>
            <w:shd w:val="clear" w:color="auto" w:fill="ABCDEF"/>
            <w:vAlign w:val="center"/>
          </w:tcPr>
          <w:p>
            <w:pPr>
              <w:widowControl/>
              <w:spacing w:line="360" w:lineRule="exact"/>
              <w:jc w:val="center"/>
              <w:rPr>
                <w:rFonts w:ascii="宋体" w:hAnsi="宋体" w:cs="宋体"/>
                <w:szCs w:val="21"/>
              </w:rPr>
            </w:pPr>
            <w:r>
              <w:rPr>
                <w:rFonts w:ascii="宋体" w:hAnsi="宋体" w:cs="宋体" w:hint="eastAsia"/>
                <w:szCs w:val="21"/>
              </w:rPr>
              <w:t>简要技术需求或服务要求</w:t>
            </w:r>
          </w:p>
        </w:tc>
        <w:tc>
          <w:tcPr>
            <w:tcW w:w="1417" w:type="dxa"/>
            <w:tcBorders>
              <w:top w:val="outset" w:sz="6" w:space="0" w:color="AAAAAA"/>
              <w:left w:val="outset" w:sz="6" w:space="0" w:color="AAAAAA"/>
              <w:bottom w:val="outset" w:sz="6" w:space="0" w:color="AAAAAA"/>
              <w:right w:val="outset" w:sz="6" w:space="0" w:color="AAAAAA"/>
            </w:tcBorders>
            <w:shd w:val="clear" w:color="auto" w:fill="ABCDEF"/>
            <w:vAlign w:val="center"/>
          </w:tcPr>
          <w:p>
            <w:pPr>
              <w:widowControl/>
              <w:spacing w:line="360" w:lineRule="exact"/>
              <w:jc w:val="center"/>
              <w:rPr>
                <w:rFonts w:ascii="宋体" w:hAnsi="宋体" w:cs="宋体"/>
                <w:szCs w:val="21"/>
              </w:rPr>
            </w:pPr>
            <w:r>
              <w:rPr>
                <w:rFonts w:ascii="宋体" w:hAnsi="宋体" w:cs="宋体" w:hint="eastAsia"/>
                <w:szCs w:val="21"/>
              </w:rPr>
              <w:t>备注</w:t>
            </w:r>
          </w:p>
        </w:tc>
      </w:tr>
      <w:tr>
        <w:tblPrEx>
          <w:tblW w:w="9214" w:type="dxa"/>
          <w:tblInd w:w="60" w:type="dxa"/>
          <w:tblLayout w:type="fixed"/>
          <w:tblCellMar>
            <w:top w:w="60" w:type="dxa"/>
            <w:left w:w="60" w:type="dxa"/>
            <w:bottom w:w="60" w:type="dxa"/>
            <w:right w:w="60" w:type="dxa"/>
          </w:tblCellMar>
        </w:tblPrEx>
        <w:trPr>
          <w:trHeight w:val="462"/>
        </w:trPr>
        <w:tc>
          <w:tcPr>
            <w:tcW w:w="3261" w:type="dxa"/>
            <w:tcBorders>
              <w:top w:val="outset" w:sz="6" w:space="0" w:color="AAAAAA"/>
              <w:left w:val="outset" w:sz="6" w:space="0" w:color="AAAAAA"/>
              <w:bottom w:val="outset" w:sz="6" w:space="0" w:color="AAAAAA"/>
              <w:right w:val="outset" w:sz="6" w:space="0" w:color="AAAAAA"/>
            </w:tcBorders>
            <w:shd w:val="clear" w:color="auto" w:fill="auto"/>
            <w:vAlign w:val="center"/>
          </w:tcPr>
          <w:p>
            <w:pPr>
              <w:widowControl/>
              <w:spacing w:line="360" w:lineRule="exact"/>
              <w:jc w:val="center"/>
              <w:rPr>
                <w:rFonts w:ascii="宋体" w:eastAsia="宋体" w:hAnsi="宋体" w:cs="宋体" w:hint="eastAsia"/>
                <w:szCs w:val="21"/>
                <w:lang w:eastAsia="zh-CN"/>
              </w:rPr>
            </w:pPr>
            <w:r>
              <w:rPr>
                <w:rFonts w:ascii="宋体" w:hAnsi="宋体" w:cs="宋体" w:hint="eastAsia"/>
                <w:szCs w:val="21"/>
                <w:lang w:eastAsia="zh-CN"/>
              </w:rPr>
              <w:t>2024年高压设施维护服务</w:t>
            </w:r>
          </w:p>
        </w:tc>
        <w:tc>
          <w:tcPr>
            <w:tcW w:w="850" w:type="dxa"/>
            <w:tcBorders>
              <w:top w:val="outset" w:sz="6" w:space="0" w:color="AAAAAA"/>
              <w:left w:val="outset" w:sz="6" w:space="0" w:color="AAAAAA"/>
              <w:bottom w:val="outset" w:sz="6" w:space="0" w:color="AAAAAA"/>
              <w:right w:val="outset" w:sz="6" w:space="0" w:color="AAAAAA"/>
            </w:tcBorders>
            <w:shd w:val="clear" w:color="auto" w:fill="auto"/>
            <w:vAlign w:val="center"/>
          </w:tcPr>
          <w:p>
            <w:pPr>
              <w:spacing w:line="360" w:lineRule="exact"/>
              <w:jc w:val="center"/>
              <w:rPr>
                <w:rFonts w:ascii="宋体" w:hAnsi="宋体" w:cs="宋体"/>
                <w:szCs w:val="21"/>
              </w:rPr>
            </w:pPr>
            <w:r>
              <w:rPr>
                <w:rFonts w:ascii="宋体" w:hAnsi="宋体" w:cs="宋体" w:hint="eastAsia"/>
                <w:szCs w:val="21"/>
              </w:rPr>
              <w:t>1</w:t>
            </w:r>
          </w:p>
        </w:tc>
        <w:tc>
          <w:tcPr>
            <w:tcW w:w="992" w:type="dxa"/>
            <w:tcBorders>
              <w:top w:val="outset" w:sz="6" w:space="0" w:color="AAAAAA"/>
              <w:left w:val="outset" w:sz="6" w:space="0" w:color="AAAAAA"/>
              <w:bottom w:val="outset" w:sz="6" w:space="0" w:color="AAAAAA"/>
              <w:right w:val="outset" w:sz="6" w:space="0" w:color="AAAAAA"/>
            </w:tcBorders>
            <w:shd w:val="clear" w:color="auto" w:fill="auto"/>
            <w:vAlign w:val="center"/>
          </w:tcPr>
          <w:p>
            <w:pPr>
              <w:spacing w:line="360" w:lineRule="exact"/>
              <w:jc w:val="center"/>
              <w:rPr>
                <w:rFonts w:ascii="宋体" w:hAnsi="宋体" w:cs="宋体"/>
                <w:szCs w:val="21"/>
              </w:rPr>
            </w:pPr>
            <w:r>
              <w:rPr>
                <w:rFonts w:ascii="宋体" w:hAnsi="宋体" w:cs="宋体" w:hint="eastAsia"/>
                <w:szCs w:val="21"/>
              </w:rPr>
              <w:t>项</w:t>
            </w:r>
          </w:p>
        </w:tc>
        <w:tc>
          <w:tcPr>
            <w:tcW w:w="2694" w:type="dxa"/>
            <w:tcBorders>
              <w:top w:val="outset" w:sz="6" w:space="0" w:color="AAAAAA"/>
              <w:left w:val="outset" w:sz="6" w:space="0" w:color="AAAAAA"/>
              <w:bottom w:val="outset" w:sz="6" w:space="0" w:color="AAAAAA"/>
              <w:right w:val="outset" w:sz="6" w:space="0" w:color="AAAAAA"/>
            </w:tcBorders>
            <w:shd w:val="clear" w:color="auto" w:fill="auto"/>
            <w:vAlign w:val="center"/>
          </w:tcPr>
          <w:p>
            <w:pPr>
              <w:spacing w:line="360" w:lineRule="exact"/>
              <w:jc w:val="center"/>
              <w:rPr>
                <w:rFonts w:ascii="宋体" w:hAnsi="宋体" w:cs="宋体"/>
                <w:szCs w:val="21"/>
              </w:rPr>
            </w:pPr>
            <w:r>
              <w:rPr>
                <w:rFonts w:ascii="宋体" w:hAnsi="宋体" w:cs="宋体" w:hint="eastAsia"/>
                <w:szCs w:val="21"/>
              </w:rPr>
              <w:t>详见招标文件</w:t>
            </w:r>
          </w:p>
        </w:tc>
        <w:tc>
          <w:tcPr>
            <w:tcW w:w="1417" w:type="dxa"/>
            <w:tcBorders>
              <w:top w:val="outset" w:sz="6" w:space="0" w:color="AAAAAA"/>
              <w:left w:val="outset" w:sz="6" w:space="0" w:color="AAAAAA"/>
              <w:bottom w:val="outset" w:sz="6" w:space="0" w:color="AAAAAA"/>
              <w:right w:val="outset" w:sz="6" w:space="0" w:color="AAAAAA"/>
            </w:tcBorders>
            <w:shd w:val="clear" w:color="auto" w:fill="auto"/>
            <w:vAlign w:val="center"/>
          </w:tcPr>
          <w:p>
            <w:pPr>
              <w:widowControl/>
              <w:spacing w:line="360" w:lineRule="exact"/>
              <w:jc w:val="center"/>
              <w:rPr>
                <w:rFonts w:ascii="宋体" w:hAnsi="宋体" w:cs="宋体"/>
                <w:szCs w:val="21"/>
              </w:rPr>
            </w:pPr>
            <w:r>
              <w:rPr>
                <w:rFonts w:ascii="宋体" w:hAnsi="宋体" w:cs="宋体" w:hint="eastAsia"/>
                <w:szCs w:val="21"/>
              </w:rPr>
              <w:t>无</w:t>
            </w:r>
          </w:p>
        </w:tc>
      </w:tr>
    </w:tbl>
    <w:p>
      <w:pPr>
        <w:widowControl/>
        <w:spacing w:line="360" w:lineRule="exact"/>
        <w:ind w:firstLine="424" w:firstLineChars="202"/>
        <w:rPr>
          <w:rFonts w:ascii="宋体" w:hAnsi="宋体"/>
          <w:szCs w:val="21"/>
        </w:rPr>
      </w:pPr>
      <w:r>
        <w:rPr>
          <w:rFonts w:ascii="宋体" w:hAnsi="宋体"/>
          <w:szCs w:val="21"/>
        </w:rPr>
        <w:t>6</w:t>
      </w:r>
      <w:r>
        <w:rPr>
          <w:rFonts w:ascii="宋体" w:hAnsi="宋体" w:hint="eastAsia"/>
          <w:szCs w:val="21"/>
        </w:rPr>
        <w:t>、</w:t>
      </w:r>
      <w:r>
        <w:rPr>
          <w:rFonts w:ascii="宋体" w:hAnsi="宋体"/>
          <w:szCs w:val="21"/>
        </w:rPr>
        <w:t>合同履行期限：</w:t>
      </w:r>
      <w:r>
        <w:rPr>
          <w:rFonts w:asciiTheme="minorEastAsia" w:eastAsiaTheme="minorEastAsia" w:hAnsiTheme="minorEastAsia" w:hint="eastAsia"/>
          <w:szCs w:val="21"/>
        </w:rPr>
        <w:t>详见招标文件</w:t>
      </w:r>
    </w:p>
    <w:p>
      <w:pPr>
        <w:widowControl/>
        <w:spacing w:line="360" w:lineRule="exact"/>
        <w:ind w:firstLine="424" w:firstLineChars="202"/>
        <w:rPr>
          <w:rFonts w:ascii="宋体" w:hAnsi="宋体"/>
          <w:szCs w:val="21"/>
        </w:rPr>
      </w:pPr>
      <w:r>
        <w:rPr>
          <w:rFonts w:ascii="宋体" w:hAnsi="宋体"/>
          <w:szCs w:val="21"/>
        </w:rPr>
        <w:t>7</w:t>
      </w:r>
      <w:r>
        <w:rPr>
          <w:rFonts w:ascii="宋体" w:hAnsi="宋体" w:hint="eastAsia"/>
          <w:szCs w:val="21"/>
        </w:rPr>
        <w:t>、本项目（是/否）接受联合体投标：详见“申请人的资格要求”</w:t>
      </w:r>
    </w:p>
    <w:p>
      <w:pPr>
        <w:widowControl/>
        <w:spacing w:line="360" w:lineRule="exact"/>
        <w:rPr>
          <w:rFonts w:ascii="宋体" w:hAnsi="宋体"/>
          <w:szCs w:val="21"/>
        </w:rPr>
      </w:pPr>
    </w:p>
    <w:p>
      <w:pPr>
        <w:widowControl/>
        <w:spacing w:line="360" w:lineRule="exact"/>
        <w:rPr>
          <w:rFonts w:ascii="宋体" w:hAnsi="宋体"/>
          <w:szCs w:val="24"/>
        </w:rPr>
      </w:pPr>
      <w:r>
        <w:rPr>
          <w:rFonts w:ascii="宋体" w:hAnsi="宋体"/>
          <w:szCs w:val="24"/>
        </w:rPr>
        <w:t>二、申请人的资格要求：</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szCs w:val="24"/>
        </w:rPr>
        <w:t>1</w:t>
      </w:r>
      <w:r>
        <w:rPr>
          <w:rFonts w:asciiTheme="minorEastAsia" w:eastAsiaTheme="minorEastAsia" w:hAnsiTheme="minorEastAsia" w:hint="eastAsia"/>
          <w:szCs w:val="24"/>
        </w:rPr>
        <w:t>、</w:t>
      </w:r>
      <w:r>
        <w:rPr>
          <w:rFonts w:asciiTheme="minorEastAsia" w:eastAsiaTheme="minorEastAsia" w:hAnsiTheme="minorEastAsia"/>
          <w:szCs w:val="24"/>
        </w:rPr>
        <w:t>满足《中华人民共和国政府采购法》第二十二条规定</w:t>
      </w:r>
      <w:r>
        <w:rPr>
          <w:rFonts w:asciiTheme="minorEastAsia" w:eastAsiaTheme="minorEastAsia" w:hAnsiTheme="minorEastAsia" w:hint="eastAsia"/>
          <w:snapToGrid w:val="0"/>
          <w:szCs w:val="24"/>
        </w:rPr>
        <w:t>（须提供具有独立承担民事责任能力的法人或其他组织的营业执照或法人证书等证明材料扫描件以及《</w:t>
      </w:r>
      <w:r>
        <w:rPr>
          <w:rFonts w:asciiTheme="minorEastAsia" w:eastAsiaTheme="minorEastAsia" w:hAnsiTheme="minorEastAsia" w:hint="eastAsia"/>
          <w:szCs w:val="24"/>
        </w:rPr>
        <w:t>政府采购投标及履约承诺函</w:t>
      </w:r>
      <w:r>
        <w:rPr>
          <w:rFonts w:asciiTheme="minorEastAsia" w:eastAsiaTheme="minorEastAsia" w:hAnsiTheme="minorEastAsia" w:hint="eastAsia"/>
          <w:snapToGrid w:val="0"/>
          <w:szCs w:val="24"/>
        </w:rPr>
        <w:t>》）</w:t>
      </w:r>
      <w:r>
        <w:rPr>
          <w:rFonts w:asciiTheme="minorEastAsia" w:eastAsiaTheme="minorEastAsia" w:hAnsiTheme="minorEastAsia" w:hint="eastAsia"/>
          <w:snapToGrid w:val="0"/>
        </w:rPr>
        <w:t>。如果是分支机构参与投标，还须同时提供其具有独立法人资格的上级主体出具的</w:t>
      </w:r>
      <w:r>
        <w:rPr>
          <w:rFonts w:ascii="宋体" w:hAnsi="宋体" w:hint="eastAsia"/>
          <w:snapToGrid w:val="0"/>
        </w:rPr>
        <w:t>有效授权书及</w:t>
      </w:r>
      <w:r>
        <w:rPr>
          <w:rFonts w:asciiTheme="minorEastAsia" w:eastAsiaTheme="minorEastAsia" w:hAnsiTheme="minorEastAsia" w:hint="eastAsia"/>
          <w:snapToGrid w:val="0"/>
        </w:rPr>
        <w:t>上级主体的</w:t>
      </w:r>
      <w:r>
        <w:rPr>
          <w:rFonts w:ascii="宋体" w:hAnsi="宋体" w:hint="eastAsia"/>
          <w:snapToGrid w:val="0"/>
        </w:rPr>
        <w:t>营业执照或法人证书等证明材料扫描件</w:t>
      </w:r>
      <w:r>
        <w:rPr>
          <w:rFonts w:asciiTheme="minorEastAsia" w:eastAsiaTheme="minorEastAsia" w:hAnsiTheme="minorEastAsia" w:hint="eastAsia"/>
          <w:snapToGrid w:val="0"/>
        </w:rPr>
        <w:t>；</w:t>
      </w:r>
      <w:r>
        <w:rPr>
          <w:rFonts w:ascii="宋体" w:hAnsi="宋体" w:hint="eastAsia"/>
          <w:snapToGrid w:val="0"/>
        </w:rPr>
        <w:t>本项目不接受总公司与分支机构同时参与投标，也不接受同一总公司有两个或以上分支机构参与投标，如出现以上情形，该两家或以上投标人均按无效投标处理</w:t>
      </w:r>
      <w:r>
        <w:rPr>
          <w:rFonts w:asciiTheme="minorEastAsia" w:eastAsiaTheme="minorEastAsia" w:hAnsiTheme="minorEastAsia" w:hint="eastAsia"/>
          <w:szCs w:val="24"/>
        </w:rPr>
        <w:t>。</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szCs w:val="24"/>
        </w:rPr>
        <w:t>2</w:t>
      </w:r>
      <w:r>
        <w:rPr>
          <w:rFonts w:asciiTheme="minorEastAsia" w:eastAsiaTheme="minorEastAsia" w:hAnsiTheme="minorEastAsia" w:hint="eastAsia"/>
          <w:szCs w:val="24"/>
        </w:rPr>
        <w:t>、</w:t>
      </w:r>
      <w:r>
        <w:rPr>
          <w:rFonts w:asciiTheme="minorEastAsia" w:eastAsiaTheme="minorEastAsia" w:hAnsiTheme="minorEastAsia"/>
          <w:szCs w:val="24"/>
        </w:rPr>
        <w:t>落实政府采购政策需满足的资格要求：</w:t>
      </w:r>
      <w:r>
        <w:rPr>
          <w:rFonts w:asciiTheme="minorEastAsia" w:eastAsiaTheme="minorEastAsia" w:hAnsiTheme="minorEastAsia" w:hint="eastAsia"/>
          <w:szCs w:val="24"/>
        </w:rPr>
        <w:t>无。</w:t>
      </w:r>
      <w:r>
        <w:rPr>
          <w:rFonts w:asciiTheme="minorEastAsia" w:eastAsiaTheme="minorEastAsia" w:hAnsiTheme="minorEastAsia"/>
          <w:szCs w:val="24"/>
        </w:rPr>
        <w:t xml:space="preserve"> </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szCs w:val="24"/>
        </w:rPr>
        <w:t>3</w:t>
      </w:r>
      <w:r>
        <w:rPr>
          <w:rFonts w:asciiTheme="minorEastAsia" w:eastAsiaTheme="minorEastAsia" w:hAnsiTheme="minorEastAsia" w:hint="eastAsia"/>
          <w:szCs w:val="24"/>
        </w:rPr>
        <w:t>、</w:t>
      </w:r>
      <w:r>
        <w:rPr>
          <w:rFonts w:asciiTheme="minorEastAsia" w:eastAsiaTheme="minorEastAsia" w:hAnsiTheme="minorEastAsia"/>
          <w:szCs w:val="24"/>
        </w:rPr>
        <w:t>本项目的特定资格要求：</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hint="eastAsia"/>
          <w:szCs w:val="24"/>
        </w:rPr>
        <w:t>（1）</w:t>
      </w:r>
      <w:r>
        <w:rPr>
          <w:rFonts w:asciiTheme="minorEastAsia" w:eastAsiaTheme="minorEastAsia" w:hAnsiTheme="minorEastAsia" w:hint="eastAsia"/>
          <w:snapToGrid w:val="0"/>
          <w:szCs w:val="24"/>
        </w:rPr>
        <w:t>参与本项目采购活动前三年内，在经营活动中没有重大违法记录</w:t>
      </w:r>
      <w:r>
        <w:rPr>
          <w:rFonts w:asciiTheme="minorEastAsia" w:eastAsiaTheme="minorEastAsia" w:hAnsiTheme="minorEastAsia" w:hint="eastAsia"/>
          <w:szCs w:val="24"/>
        </w:rPr>
        <w:t>（由供应商在《政府采购投标及履约承诺函》中作出声明）；</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hint="eastAsia"/>
          <w:snapToGrid w:val="0"/>
          <w:szCs w:val="24"/>
        </w:rPr>
        <w:t>参与本项目政府采购活动时不存在被有关部门禁止参与政府采购活动且在有效期内的情况</w:t>
      </w:r>
      <w:r>
        <w:rPr>
          <w:rFonts w:asciiTheme="minorEastAsia" w:eastAsiaTheme="minorEastAsia" w:hAnsiTheme="minorEastAsia" w:hint="eastAsia"/>
          <w:szCs w:val="24"/>
        </w:rPr>
        <w:t>（由供应商在《政府采购投标及履约承诺函》中作出声明）；</w:t>
      </w:r>
    </w:p>
    <w:p>
      <w:pPr>
        <w:spacing w:line="360" w:lineRule="exact"/>
        <w:ind w:firstLine="424" w:firstLineChars="202"/>
        <w:jc w:val="left"/>
        <w:rPr>
          <w:rFonts w:asciiTheme="minorEastAsia" w:eastAsiaTheme="minorEastAsia" w:hAnsiTheme="minorEastAsia"/>
          <w:szCs w:val="24"/>
        </w:rPr>
      </w:pPr>
      <w:r>
        <w:rPr>
          <w:rFonts w:asciiTheme="minorEastAsia" w:eastAsiaTheme="minorEastAsia" w:hAnsiTheme="minorEastAsia" w:hint="eastAsia"/>
          <w:szCs w:val="24"/>
        </w:rPr>
        <w:t>（3）</w:t>
      </w:r>
      <w:r>
        <w:rPr>
          <w:rFonts w:asciiTheme="minorEastAsia" w:eastAsiaTheme="minorEastAsia" w:hAnsiTheme="minorEastAsia" w:hint="eastAsia"/>
          <w:snapToGrid w:val="0"/>
          <w:szCs w:val="24"/>
        </w:rPr>
        <w:t>单位负责人为同一人或者存在直接控股、管理关系的不同供应商，不得参加同一合同项下</w:t>
      </w:r>
      <w:r>
        <w:rPr>
          <w:rFonts w:asciiTheme="minorEastAsia" w:eastAsiaTheme="minorEastAsia" w:hAnsiTheme="minorEastAsia" w:hint="eastAsia"/>
          <w:szCs w:val="24"/>
        </w:rPr>
        <w:t>的政府采购活动（由供应商在《政府采购投标及履约承诺函》中作出声明）；</w:t>
      </w:r>
    </w:p>
    <w:p>
      <w:pPr>
        <w:spacing w:line="360" w:lineRule="exact"/>
        <w:ind w:firstLine="424" w:firstLineChars="202"/>
        <w:jc w:val="left"/>
        <w:rPr>
          <w:rFonts w:asciiTheme="minorEastAsia" w:eastAsiaTheme="minorEastAsia" w:hAnsiTheme="minorEastAsia"/>
          <w:szCs w:val="24"/>
        </w:rPr>
      </w:pPr>
      <w:r>
        <w:rPr>
          <w:rFonts w:asciiTheme="minorEastAsia" w:eastAsiaTheme="minorEastAsia" w:hAnsiTheme="minorEastAsia" w:hint="eastAsia"/>
          <w:szCs w:val="24"/>
        </w:rPr>
        <w:t>（4）</w:t>
      </w:r>
      <w:r>
        <w:rPr>
          <w:rFonts w:asciiTheme="minorEastAsia" w:eastAsiaTheme="minorEastAsia" w:hAnsiTheme="minorEastAsia" w:hint="eastAsia"/>
          <w:snapToGrid w:val="0"/>
          <w:szCs w:val="24"/>
        </w:rPr>
        <w:t>除单一来源采购项目外，为采购项目提供整体设计、规范编制或者项目管理、监理、检测等</w:t>
      </w:r>
      <w:r>
        <w:rPr>
          <w:rFonts w:asciiTheme="minorEastAsia" w:eastAsiaTheme="minorEastAsia" w:hAnsiTheme="minorEastAsia" w:hint="eastAsia"/>
          <w:szCs w:val="24"/>
        </w:rPr>
        <w:t>服务的供应商，不得再参加该采购项目的其他采购活动（由供应商在《政府采购投标及履约承诺函》中作出声明）；</w:t>
      </w:r>
    </w:p>
    <w:p>
      <w:pPr>
        <w:spacing w:line="360" w:lineRule="exact"/>
        <w:ind w:firstLine="424" w:firstLineChars="202"/>
        <w:jc w:val="left"/>
        <w:rPr>
          <w:rFonts w:asciiTheme="minorEastAsia" w:eastAsiaTheme="minorEastAsia" w:hAnsiTheme="minorEastAsia"/>
          <w:szCs w:val="24"/>
        </w:rPr>
      </w:pPr>
      <w:r>
        <w:rPr>
          <w:rFonts w:asciiTheme="minorEastAsia" w:eastAsiaTheme="minorEastAsia" w:hAnsiTheme="minorEastAsia" w:hint="eastAsia"/>
          <w:szCs w:val="24"/>
        </w:rPr>
        <w:t>（5）参与本项目政府采购活动不存在与其他采购参加人串通投标，隐瞒真实情况，提供虚假资料等违法违规情形（由供应商在《政府采购投标及履约承诺函》中作出声明）；</w:t>
      </w:r>
    </w:p>
    <w:p>
      <w:pPr>
        <w:spacing w:line="360" w:lineRule="exact"/>
        <w:ind w:firstLine="424" w:firstLineChars="202"/>
        <w:jc w:val="left"/>
        <w:rPr>
          <w:rFonts w:asciiTheme="minorEastAsia" w:eastAsiaTheme="minorEastAsia" w:hAnsiTheme="minorEastAsia"/>
          <w:szCs w:val="24"/>
        </w:rPr>
      </w:pPr>
      <w:r>
        <w:rPr>
          <w:rFonts w:asciiTheme="minorEastAsia" w:eastAsiaTheme="minorEastAsia" w:hAnsiTheme="minorEastAsia" w:hint="eastAsia"/>
          <w:szCs w:val="24"/>
        </w:rPr>
        <w:t>（6）未被列入失信被执行人、重大税收违法案件当事人名单及政府采购严重违法失信行为记录名单（</w:t>
      </w:r>
      <w:r>
        <w:rPr>
          <w:rFonts w:asciiTheme="minorEastAsia" w:eastAsiaTheme="minorEastAsia" w:hAnsiTheme="minorEastAsia" w:hint="eastAsia"/>
          <w:snapToGrid w:val="0"/>
        </w:rPr>
        <w:t>信用中国网“信用服务”栏的“重大税收违法失信主体”、“失信被执行人”，中国政府采购网“政府采购严重违法失信行为记录名单”，深圳信用网以及深圳市政府采购监管网</w:t>
      </w:r>
      <w:r>
        <w:rPr>
          <w:rFonts w:asciiTheme="minorEastAsia" w:eastAsiaTheme="minorEastAsia" w:hAnsiTheme="minorEastAsia" w:hint="eastAsia"/>
          <w:szCs w:val="24"/>
        </w:rPr>
        <w:t>为供应商信用信息查询渠道，相关信息以开标当日的查询结果为准。由采购代理机构查询，供应商无需提供证明材料）；</w:t>
      </w:r>
    </w:p>
    <w:p>
      <w:pPr>
        <w:widowControl/>
        <w:adjustRightInd w:val="0"/>
        <w:snapToGrid w:val="0"/>
        <w:spacing w:line="360" w:lineRule="exact"/>
        <w:ind w:firstLine="424" w:firstLineChars="202"/>
        <w:jc w:val="left"/>
        <w:rPr>
          <w:rFonts w:asciiTheme="minorEastAsia" w:eastAsiaTheme="minorEastAsia" w:hAnsiTheme="minorEastAsia" w:cs="Arial Unicode MS" w:hint="eastAsia"/>
          <w:snapToGrid w:val="0"/>
          <w:kern w:val="0"/>
          <w:szCs w:val="18"/>
        </w:rPr>
      </w:pPr>
      <w:r>
        <w:rPr>
          <w:rFonts w:asciiTheme="minorEastAsia" w:eastAsiaTheme="minorEastAsia" w:hAnsiTheme="minorEastAsia" w:cs="Arial Unicode MS" w:hint="eastAsia"/>
          <w:snapToGrid w:val="0"/>
          <w:kern w:val="0"/>
          <w:szCs w:val="18"/>
        </w:rPr>
        <w:t>（7）具有</w:t>
      </w:r>
      <w:r>
        <w:rPr>
          <w:rFonts w:ascii="宋体" w:hAnsi="宋体" w:hint="eastAsia"/>
          <w:szCs w:val="24"/>
          <w:lang w:val="en-US" w:eastAsia="zh-CN"/>
        </w:rPr>
        <w:t>城市及道路照明工程专业承包二级（或以上）资质或输变电工程专业承包三级（或以上）资质</w:t>
      </w:r>
      <w:r>
        <w:rPr>
          <w:rFonts w:asciiTheme="minorEastAsia" w:eastAsiaTheme="minorEastAsia" w:hAnsiTheme="minorEastAsia" w:cs="Arial Unicode MS" w:hint="eastAsia"/>
          <w:snapToGrid w:val="0"/>
          <w:kern w:val="0"/>
          <w:szCs w:val="18"/>
        </w:rPr>
        <w:t>（提供有效期内的资质证书扫描件，原件备查）；</w:t>
      </w:r>
    </w:p>
    <w:p>
      <w:pPr>
        <w:widowControl/>
        <w:adjustRightInd w:val="0"/>
        <w:snapToGrid w:val="0"/>
        <w:spacing w:line="360" w:lineRule="exact"/>
        <w:ind w:firstLine="424" w:firstLineChars="202"/>
        <w:jc w:val="left"/>
        <w:rPr>
          <w:rFonts w:asciiTheme="minorEastAsia" w:eastAsiaTheme="minorEastAsia" w:hAnsiTheme="minorEastAsia" w:cs="Arial Unicode MS" w:hint="eastAsia"/>
          <w:snapToGrid w:val="0"/>
          <w:kern w:val="0"/>
          <w:szCs w:val="18"/>
          <w:lang w:eastAsia="zh-CN"/>
        </w:rPr>
      </w:pPr>
      <w:r>
        <w:rPr>
          <w:rFonts w:asciiTheme="minorEastAsia" w:eastAsiaTheme="minorEastAsia" w:hAnsiTheme="minorEastAsia" w:cs="Arial Unicode MS" w:hint="eastAsia"/>
          <w:snapToGrid w:val="0"/>
          <w:kern w:val="0"/>
          <w:szCs w:val="18"/>
        </w:rPr>
        <w:t>（8）具有《承装（修、试）电力设施许可证》，资格类别要求同时包括承装类和承修类，等级要求为五级</w:t>
      </w:r>
      <w:r>
        <w:rPr>
          <w:rFonts w:asciiTheme="minorEastAsia" w:eastAsiaTheme="minorEastAsia" w:hAnsiTheme="minorEastAsia" w:cs="Arial Unicode MS" w:hint="eastAsia"/>
          <w:snapToGrid w:val="0"/>
          <w:kern w:val="0"/>
          <w:szCs w:val="18"/>
          <w:lang w:eastAsia="zh-CN"/>
        </w:rPr>
        <w:t>（</w:t>
      </w:r>
      <w:r>
        <w:rPr>
          <w:rFonts w:asciiTheme="minorEastAsia" w:eastAsiaTheme="minorEastAsia" w:hAnsiTheme="minorEastAsia" w:cs="Arial Unicode MS" w:hint="eastAsia"/>
          <w:snapToGrid w:val="0"/>
          <w:kern w:val="0"/>
          <w:szCs w:val="18"/>
        </w:rPr>
        <w:t>或以上</w:t>
      </w:r>
      <w:r>
        <w:rPr>
          <w:rFonts w:asciiTheme="minorEastAsia" w:eastAsiaTheme="minorEastAsia" w:hAnsiTheme="minorEastAsia" w:cs="Arial Unicode MS" w:hint="eastAsia"/>
          <w:snapToGrid w:val="0"/>
          <w:kern w:val="0"/>
          <w:szCs w:val="18"/>
          <w:lang w:eastAsia="zh-CN"/>
        </w:rPr>
        <w:t>）</w:t>
      </w:r>
      <w:r>
        <w:rPr>
          <w:rFonts w:asciiTheme="minorEastAsia" w:eastAsiaTheme="minorEastAsia" w:hAnsiTheme="minorEastAsia" w:cs="Arial Unicode MS" w:hint="eastAsia"/>
          <w:snapToGrid w:val="0"/>
          <w:kern w:val="0"/>
          <w:szCs w:val="18"/>
        </w:rPr>
        <w:t>（提供有效期内的许可证书扫描件，原件备查）</w:t>
      </w:r>
      <w:r>
        <w:rPr>
          <w:rFonts w:asciiTheme="minorEastAsia" w:eastAsiaTheme="minorEastAsia" w:hAnsiTheme="minorEastAsia" w:cs="Arial Unicode MS" w:hint="eastAsia"/>
          <w:snapToGrid w:val="0"/>
          <w:kern w:val="0"/>
          <w:szCs w:val="18"/>
          <w:lang w:eastAsia="zh-CN"/>
        </w:rPr>
        <w:t>；</w:t>
      </w:r>
    </w:p>
    <w:p>
      <w:pPr>
        <w:widowControl/>
        <w:adjustRightInd w:val="0"/>
        <w:snapToGrid w:val="0"/>
        <w:spacing w:line="360" w:lineRule="exact"/>
        <w:ind w:firstLine="424" w:firstLineChars="202"/>
        <w:jc w:val="left"/>
        <w:rPr>
          <w:rFonts w:asciiTheme="minorEastAsia" w:eastAsiaTheme="minorEastAsia" w:hAnsiTheme="minorEastAsia" w:cs="Arial Unicode MS"/>
          <w:snapToGrid w:val="0"/>
          <w:kern w:val="0"/>
          <w:szCs w:val="18"/>
        </w:rPr>
      </w:pPr>
      <w:r>
        <w:rPr>
          <w:rFonts w:asciiTheme="minorEastAsia" w:eastAsiaTheme="minorEastAsia" w:hAnsiTheme="minorEastAsia" w:cs="Arial Unicode MS" w:hint="eastAsia"/>
          <w:snapToGrid w:val="0"/>
          <w:kern w:val="0"/>
          <w:szCs w:val="18"/>
        </w:rPr>
        <w:t>（</w:t>
      </w:r>
      <w:r>
        <w:rPr>
          <w:rFonts w:asciiTheme="minorEastAsia" w:eastAsiaTheme="minorEastAsia" w:hAnsiTheme="minorEastAsia" w:cs="Arial Unicode MS" w:hint="eastAsia"/>
          <w:snapToGrid w:val="0"/>
          <w:kern w:val="0"/>
          <w:szCs w:val="18"/>
          <w:lang w:val="en-US" w:eastAsia="zh-CN"/>
        </w:rPr>
        <w:t>9</w:t>
      </w:r>
      <w:r>
        <w:rPr>
          <w:rFonts w:asciiTheme="minorEastAsia" w:eastAsiaTheme="minorEastAsia" w:hAnsiTheme="minorEastAsia" w:cs="Arial Unicode MS" w:hint="eastAsia"/>
          <w:snapToGrid w:val="0"/>
          <w:kern w:val="0"/>
          <w:szCs w:val="18"/>
        </w:rPr>
        <w:t>）本项目不接受联合体投标，不允许非法分包或转包。</w:t>
      </w:r>
    </w:p>
    <w:p>
      <w:pPr>
        <w:widowControl/>
        <w:adjustRightInd w:val="0"/>
        <w:snapToGrid w:val="0"/>
        <w:spacing w:line="360" w:lineRule="exact"/>
        <w:ind w:firstLine="424" w:firstLineChars="202"/>
        <w:jc w:val="left"/>
        <w:rPr>
          <w:rFonts w:asciiTheme="minorEastAsia" w:eastAsiaTheme="minorEastAsia" w:hAnsiTheme="minorEastAsia" w:cs="Arial Unicode MS"/>
          <w:snapToGrid w:val="0"/>
          <w:kern w:val="0"/>
          <w:szCs w:val="18"/>
        </w:rPr>
      </w:pPr>
      <w:r>
        <w:rPr>
          <w:rFonts w:asciiTheme="minorEastAsia" w:eastAsiaTheme="minorEastAsia" w:hAnsiTheme="minorEastAsia" w:cs="Arial Unicode MS" w:hint="eastAsia"/>
          <w:snapToGrid w:val="0"/>
          <w:kern w:val="0"/>
          <w:szCs w:val="18"/>
        </w:rPr>
        <w:t>注：供应商投标（上传投标文件）必须先行办理注册手续，具体请按照本公告“三、获取招标文件”相关内容指引办理。</w:t>
      </w:r>
    </w:p>
    <w:p>
      <w:pPr>
        <w:widowControl/>
        <w:spacing w:line="360" w:lineRule="exact"/>
        <w:rPr>
          <w:rFonts w:ascii="宋体" w:hAnsi="宋体"/>
          <w:szCs w:val="24"/>
        </w:rPr>
      </w:pPr>
    </w:p>
    <w:p>
      <w:pPr>
        <w:widowControl/>
        <w:spacing w:line="360" w:lineRule="exact"/>
        <w:rPr>
          <w:rFonts w:ascii="宋体" w:hAnsi="宋体"/>
          <w:szCs w:val="24"/>
        </w:rPr>
      </w:pPr>
      <w:r>
        <w:rPr>
          <w:rFonts w:ascii="宋体" w:hAnsi="宋体"/>
          <w:szCs w:val="24"/>
        </w:rPr>
        <w:t>三、获取招标文件</w:t>
      </w:r>
    </w:p>
    <w:p>
      <w:pPr>
        <w:widowControl/>
        <w:spacing w:line="360" w:lineRule="exact"/>
        <w:ind w:firstLine="420" w:firstLineChars="200"/>
        <w:rPr>
          <w:rFonts w:ascii="宋体" w:hAnsi="宋体"/>
          <w:szCs w:val="24"/>
        </w:rPr>
      </w:pPr>
      <w:r>
        <w:rPr>
          <w:rFonts w:ascii="宋体" w:hAnsi="宋体" w:hint="eastAsia"/>
          <w:szCs w:val="24"/>
        </w:rPr>
        <w:t>1、</w:t>
      </w:r>
      <w:r>
        <w:rPr>
          <w:rFonts w:ascii="宋体" w:hAnsi="宋体"/>
          <w:szCs w:val="24"/>
        </w:rPr>
        <w:t>时间：</w:t>
      </w:r>
      <w:r>
        <w:rPr>
          <w:rFonts w:ascii="宋体" w:hAnsi="宋体" w:hint="eastAsia"/>
          <w:b/>
          <w:szCs w:val="24"/>
          <w:u w:val="single"/>
        </w:rPr>
        <w:t>2023年</w:t>
      </w:r>
      <w:r>
        <w:rPr>
          <w:rFonts w:ascii="宋体" w:hAnsi="宋体" w:hint="eastAsia"/>
          <w:b/>
          <w:szCs w:val="24"/>
          <w:u w:val="single"/>
          <w:lang w:val="en-US" w:eastAsia="zh-CN"/>
        </w:rPr>
        <w:t>12</w:t>
      </w:r>
      <w:r>
        <w:rPr>
          <w:rFonts w:ascii="宋体" w:hAnsi="宋体" w:hint="eastAsia"/>
          <w:b/>
          <w:szCs w:val="24"/>
          <w:u w:val="single"/>
        </w:rPr>
        <w:t>月</w:t>
      </w:r>
      <w:r>
        <w:rPr>
          <w:rFonts w:ascii="宋体" w:hAnsi="宋体" w:hint="eastAsia"/>
          <w:b/>
          <w:szCs w:val="24"/>
          <w:u w:val="single"/>
          <w:lang w:val="en-US" w:eastAsia="zh-CN"/>
        </w:rPr>
        <w:t>08</w:t>
      </w:r>
      <w:r>
        <w:rPr>
          <w:rFonts w:ascii="宋体" w:hAnsi="宋体" w:hint="eastAsia"/>
          <w:b/>
          <w:szCs w:val="24"/>
          <w:u w:val="single"/>
        </w:rPr>
        <w:t>日至2023年</w:t>
      </w:r>
      <w:r>
        <w:rPr>
          <w:rFonts w:ascii="宋体" w:hAnsi="宋体" w:hint="eastAsia"/>
          <w:b/>
          <w:szCs w:val="24"/>
          <w:u w:val="single"/>
          <w:lang w:val="en-US" w:eastAsia="zh-CN"/>
        </w:rPr>
        <w:t>12</w:t>
      </w:r>
      <w:r>
        <w:rPr>
          <w:rFonts w:ascii="宋体" w:hAnsi="宋体" w:hint="eastAsia"/>
          <w:b/>
          <w:szCs w:val="24"/>
          <w:u w:val="single"/>
        </w:rPr>
        <w:t>月</w:t>
      </w:r>
      <w:r>
        <w:rPr>
          <w:rFonts w:ascii="宋体" w:hAnsi="宋体" w:hint="eastAsia"/>
          <w:b/>
          <w:szCs w:val="24"/>
          <w:u w:val="single"/>
          <w:lang w:val="en-US" w:eastAsia="zh-CN"/>
        </w:rPr>
        <w:t>20</w:t>
      </w:r>
      <w:r>
        <w:rPr>
          <w:rFonts w:ascii="宋体" w:hAnsi="宋体" w:hint="eastAsia"/>
          <w:b/>
          <w:szCs w:val="24"/>
          <w:u w:val="single"/>
        </w:rPr>
        <w:t>日</w:t>
      </w:r>
      <w:r>
        <w:rPr>
          <w:rFonts w:ascii="宋体" w:hAnsi="宋体"/>
          <w:b/>
          <w:szCs w:val="24"/>
          <w:u w:val="single"/>
        </w:rPr>
        <w:t>14:00</w:t>
      </w:r>
      <w:r>
        <w:rPr>
          <w:rFonts w:ascii="宋体" w:hAnsi="宋体" w:hint="eastAsia"/>
          <w:b/>
          <w:szCs w:val="24"/>
          <w:u w:val="single"/>
        </w:rPr>
        <w:t>，每天上午0:00至12:00，下午12:00至24:00（北京时间，法定节假日除外）</w:t>
      </w:r>
      <w:r>
        <w:rPr>
          <w:rFonts w:ascii="宋体" w:hAnsi="宋体" w:hint="eastAsia"/>
          <w:szCs w:val="24"/>
        </w:rPr>
        <w:t>。</w:t>
      </w:r>
      <w:r>
        <w:rPr>
          <w:rFonts w:ascii="宋体" w:hAnsi="宋体"/>
          <w:szCs w:val="24"/>
        </w:rPr>
        <w:t xml:space="preserve"> </w:t>
      </w:r>
    </w:p>
    <w:p>
      <w:pPr>
        <w:spacing w:line="360" w:lineRule="exact"/>
        <w:ind w:firstLine="420" w:firstLineChars="200"/>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szCs w:val="24"/>
        </w:rPr>
        <w:t>地点：</w:t>
      </w:r>
      <w:r>
        <w:rPr>
          <w:rFonts w:asciiTheme="minorEastAsia" w:eastAsiaTheme="minorEastAsia" w:hAnsiTheme="minorEastAsia" w:hint="eastAsia"/>
          <w:szCs w:val="24"/>
        </w:rPr>
        <w:t>登录深圳政府采购智慧平台（http://zfcg.szggzy.com:8081/）下载本项目的招标文件</w:t>
      </w:r>
      <w:r>
        <w:rPr>
          <w:rFonts w:asciiTheme="minorEastAsia" w:eastAsiaTheme="minorEastAsia" w:hAnsiTheme="minorEastAsia"/>
          <w:szCs w:val="24"/>
        </w:rPr>
        <w:t xml:space="preserve">。 </w:t>
      </w:r>
    </w:p>
    <w:p>
      <w:pPr>
        <w:spacing w:line="360" w:lineRule="exact"/>
        <w:ind w:firstLine="420" w:firstLineChars="200"/>
        <w:rPr>
          <w:rFonts w:asciiTheme="minorEastAsia" w:eastAsiaTheme="minorEastAsia" w:hAnsiTheme="minorEastAsia"/>
          <w:szCs w:val="24"/>
        </w:rPr>
      </w:pPr>
      <w:r>
        <w:rPr>
          <w:rFonts w:asciiTheme="minorEastAsia" w:eastAsiaTheme="minorEastAsia" w:hAnsiTheme="minorEastAsia" w:hint="eastAsia"/>
          <w:szCs w:val="24"/>
        </w:rPr>
        <w:t>3、</w:t>
      </w:r>
      <w:r>
        <w:rPr>
          <w:rFonts w:asciiTheme="minorEastAsia" w:eastAsiaTheme="minorEastAsia" w:hAnsiTheme="minorEastAsia"/>
          <w:szCs w:val="24"/>
        </w:rPr>
        <w:t xml:space="preserve">方式：在线下载。 </w:t>
      </w:r>
    </w:p>
    <w:p>
      <w:pPr>
        <w:spacing w:line="360" w:lineRule="exact"/>
        <w:ind w:firstLine="420" w:firstLineChars="200"/>
        <w:rPr>
          <w:rFonts w:asciiTheme="minorEastAsia" w:eastAsiaTheme="minorEastAsia" w:hAnsiTheme="minorEastAsia"/>
          <w:szCs w:val="24"/>
        </w:rPr>
      </w:pPr>
      <w:r>
        <w:rPr>
          <w:rFonts w:asciiTheme="minorEastAsia" w:eastAsiaTheme="minorEastAsia" w:hAnsiTheme="minorEastAsia" w:hint="eastAsia"/>
          <w:szCs w:val="24"/>
        </w:rPr>
        <w:t>4、</w:t>
      </w:r>
      <w:r>
        <w:rPr>
          <w:rFonts w:asciiTheme="minorEastAsia" w:eastAsiaTheme="minorEastAsia" w:hAnsiTheme="minorEastAsia"/>
          <w:szCs w:val="24"/>
        </w:rPr>
        <w:t>售价：免费。</w:t>
      </w:r>
    </w:p>
    <w:p>
      <w:pPr>
        <w:spacing w:line="360" w:lineRule="exact"/>
        <w:ind w:firstLine="420" w:firstLineChars="200"/>
        <w:rPr>
          <w:rFonts w:asciiTheme="minorEastAsia" w:eastAsiaTheme="minorEastAsia" w:hAnsiTheme="minorEastAsia"/>
          <w:szCs w:val="24"/>
        </w:rPr>
      </w:pPr>
      <w:r>
        <w:rPr>
          <w:rFonts w:asciiTheme="minorEastAsia" w:eastAsiaTheme="minorEastAsia" w:hAnsiTheme="minorEastAsia" w:hint="eastAsia"/>
          <w:szCs w:val="24"/>
        </w:rPr>
        <w:t>凡已注册的深圳市网上政府采购供应商，按照授予的操作权限，可于</w:t>
      </w:r>
      <w:r>
        <w:rPr>
          <w:rFonts w:ascii="宋体" w:hAnsi="宋体" w:hint="eastAsia"/>
          <w:b/>
          <w:szCs w:val="24"/>
          <w:u w:val="single"/>
        </w:rPr>
        <w:t>获取招标文件时间内</w:t>
      </w:r>
      <w:r>
        <w:rPr>
          <w:rFonts w:asciiTheme="minorEastAsia" w:eastAsiaTheme="minorEastAsia" w:hAnsiTheme="minorEastAsia" w:hint="eastAsia"/>
          <w:szCs w:val="24"/>
        </w:rPr>
        <w:t>登录深圳政府采购智慧平台（http://zfcg.szggzy.com:8081/）下载本项目的采购文件。投标人如确定参加投标，首先要在深圳政府采购智慧平台网上办事子系统（http://zfcg.szggzy.com:8081/TPBidder/memberLogin）网上报名投标，方法为登陆网上办事子系统后点击“【招标公告】→【我要报名】”；如果网上报名后上传了投标文件，又不参加投标，应再到【我的项目】→【项目流程】→【递交投标(应答)文件】功能点中进行“【撤回本次投标】”操作；如果是未注册为深圳政府采购智慧平台（http://zfcg.szggzy.com:8081/）的供应商，请先办理密钥（</w:t>
      </w:r>
      <w:r>
        <w:fldChar w:fldCharType="begin"/>
      </w:r>
      <w:r>
        <w:instrText xml:space="preserve"> HYPERLINK "http://zfcg.szggzy.com:8081/TPBidder/CAHandle" </w:instrText>
      </w:r>
      <w:r>
        <w:fldChar w:fldCharType="separate"/>
      </w:r>
      <w:r>
        <w:rPr>
          <w:rFonts w:asciiTheme="minorEastAsia" w:eastAsiaTheme="minorEastAsia" w:hAnsiTheme="minorEastAsia"/>
          <w:color w:val="0000FF"/>
          <w:u w:val="single"/>
        </w:rPr>
        <w:t>请点击</w:t>
      </w:r>
      <w:r>
        <w:rPr>
          <w:rFonts w:asciiTheme="minorEastAsia" w:eastAsiaTheme="minorEastAsia" w:hAnsiTheme="minorEastAsia"/>
          <w:color w:val="0000FF"/>
          <w:u w:val="single"/>
        </w:rPr>
        <w:fldChar w:fldCharType="end"/>
      </w:r>
      <w:r>
        <w:rPr>
          <w:rFonts w:asciiTheme="minorEastAsia" w:eastAsiaTheme="minorEastAsia" w:hAnsiTheme="minorEastAsia" w:hint="eastAsia"/>
          <w:szCs w:val="24"/>
        </w:rPr>
        <w:t>），并前往深圳公共资源交易中心绑定深圳政府采购智慧平台用户（</w:t>
      </w:r>
      <w:r>
        <w:rPr>
          <w:rFonts w:ascii="宋体" w:hAnsi="宋体" w:hint="eastAsia"/>
        </w:rPr>
        <w:t>电子密钥办理咨询电话：0755-83948165、0755-83938966、020-89524338</w:t>
      </w:r>
      <w:r>
        <w:rPr>
          <w:rFonts w:asciiTheme="minorEastAsia" w:eastAsiaTheme="minorEastAsia" w:hAnsiTheme="minorEastAsia" w:hint="eastAsia"/>
          <w:szCs w:val="24"/>
        </w:rPr>
        <w:t>），再进行投标报名。在网上报名后，点击“【我的项目】→【项目流程】→【采购文件下载】”进行招标文件的下载。</w:t>
      </w:r>
    </w:p>
    <w:p>
      <w:pPr>
        <w:widowControl/>
        <w:spacing w:line="360" w:lineRule="exact"/>
        <w:ind w:firstLine="420" w:firstLineChars="200"/>
        <w:rPr>
          <w:rFonts w:ascii="宋体" w:hAnsi="宋体"/>
          <w:szCs w:val="24"/>
        </w:rPr>
      </w:pPr>
    </w:p>
    <w:p>
      <w:pPr>
        <w:widowControl/>
        <w:spacing w:line="360" w:lineRule="exact"/>
        <w:rPr>
          <w:rFonts w:ascii="宋体" w:hAnsi="宋体"/>
          <w:szCs w:val="24"/>
        </w:rPr>
      </w:pPr>
      <w:r>
        <w:rPr>
          <w:rFonts w:ascii="宋体" w:hAnsi="宋体"/>
          <w:szCs w:val="24"/>
        </w:rPr>
        <w:t>四、提交投标文件截止时间、开标时间和地点</w:t>
      </w:r>
    </w:p>
    <w:p>
      <w:pPr>
        <w:widowControl/>
        <w:spacing w:line="360" w:lineRule="exact"/>
        <w:ind w:firstLine="424" w:firstLineChars="202"/>
        <w:rPr>
          <w:rFonts w:ascii="宋体" w:hAnsi="宋体"/>
          <w:szCs w:val="24"/>
        </w:rPr>
      </w:pPr>
      <w:r>
        <w:rPr>
          <w:rFonts w:ascii="宋体" w:hAnsi="宋体" w:hint="eastAsia"/>
          <w:szCs w:val="24"/>
        </w:rPr>
        <w:t>1、投标截止时间：所有投标文件应于</w:t>
      </w:r>
      <w:r>
        <w:rPr>
          <w:rFonts w:ascii="宋体" w:hAnsi="宋体" w:hint="eastAsia"/>
          <w:b/>
          <w:szCs w:val="24"/>
          <w:u w:val="single"/>
        </w:rPr>
        <w:t>2023年</w:t>
      </w:r>
      <w:r>
        <w:rPr>
          <w:rFonts w:ascii="宋体" w:hAnsi="宋体" w:hint="eastAsia"/>
          <w:b/>
          <w:szCs w:val="24"/>
          <w:u w:val="single"/>
          <w:lang w:val="en-US" w:eastAsia="zh-CN"/>
        </w:rPr>
        <w:t>12</w:t>
      </w:r>
      <w:r>
        <w:rPr>
          <w:rFonts w:ascii="宋体" w:hAnsi="宋体" w:hint="eastAsia"/>
          <w:b/>
          <w:szCs w:val="24"/>
          <w:u w:val="single"/>
        </w:rPr>
        <w:t>月</w:t>
      </w:r>
      <w:r>
        <w:rPr>
          <w:rFonts w:ascii="宋体" w:hAnsi="宋体" w:hint="eastAsia"/>
          <w:b/>
          <w:szCs w:val="24"/>
          <w:u w:val="single"/>
          <w:lang w:val="en-US" w:eastAsia="zh-CN"/>
        </w:rPr>
        <w:t>20</w:t>
      </w:r>
      <w:r>
        <w:rPr>
          <w:rFonts w:ascii="宋体" w:hAnsi="宋体" w:hint="eastAsia"/>
          <w:b/>
          <w:szCs w:val="24"/>
          <w:u w:val="single"/>
        </w:rPr>
        <w:t>日14:00（北京时间）</w:t>
      </w:r>
      <w:r>
        <w:rPr>
          <w:rFonts w:ascii="宋体" w:hAnsi="宋体" w:hint="eastAsia"/>
          <w:szCs w:val="24"/>
        </w:rPr>
        <w:t>之前上传到深圳政府采购智慧平台（http://zfcg.szggzy.com:8081/）。具体操作为登录“深圳政府采购智慧平台用户网上办事子系统（http://zfcg.szggzy.com:8081/TPBidder/memberLogin）”，用“【我的项目】→【项目流程】→【递交投标(应答)文件】”功能点上传投标文件。本项目电子投标文件最大容量为200MB</w:t>
      </w:r>
      <w:r>
        <w:rPr>
          <w:rFonts w:ascii="宋体" w:hAnsi="宋体" w:cs="宋体" w:hint="eastAsia"/>
          <w:szCs w:val="21"/>
        </w:rPr>
        <w:t>，单个节点文件不能超过</w:t>
      </w:r>
      <w:r>
        <w:rPr>
          <w:rFonts w:ascii="宋体" w:hAnsi="宋体" w:cs="宋体"/>
          <w:szCs w:val="21"/>
        </w:rPr>
        <w:t>50M</w:t>
      </w:r>
      <w:r>
        <w:rPr>
          <w:rFonts w:ascii="宋体" w:hAnsi="宋体" w:cs="宋体" w:hint="eastAsia"/>
          <w:szCs w:val="21"/>
        </w:rPr>
        <w:t>B</w:t>
      </w:r>
      <w:r>
        <w:rPr>
          <w:rFonts w:ascii="宋体" w:hAnsi="宋体" w:hint="eastAsia"/>
          <w:szCs w:val="24"/>
        </w:rPr>
        <w:t>，超过此容量的文件将被拒绝。</w:t>
      </w:r>
    </w:p>
    <w:p>
      <w:pPr>
        <w:widowControl/>
        <w:spacing w:line="360" w:lineRule="exact"/>
        <w:ind w:firstLine="424" w:firstLineChars="202"/>
        <w:rPr>
          <w:rFonts w:ascii="宋体" w:hAnsi="宋体"/>
          <w:szCs w:val="24"/>
        </w:rPr>
      </w:pPr>
      <w:r>
        <w:rPr>
          <w:rFonts w:ascii="宋体" w:hAnsi="宋体" w:hint="eastAsia"/>
          <w:szCs w:val="24"/>
        </w:rPr>
        <w:t>2、开标时间和地点：定于</w:t>
      </w:r>
      <w:r>
        <w:rPr>
          <w:rFonts w:ascii="宋体" w:hAnsi="宋体" w:hint="eastAsia"/>
          <w:b/>
          <w:szCs w:val="24"/>
          <w:u w:val="single"/>
        </w:rPr>
        <w:t>2023年</w:t>
      </w:r>
      <w:r>
        <w:rPr>
          <w:rFonts w:ascii="宋体" w:hAnsi="宋体" w:hint="eastAsia"/>
          <w:b/>
          <w:szCs w:val="24"/>
          <w:u w:val="single"/>
          <w:lang w:val="en-US" w:eastAsia="zh-CN"/>
        </w:rPr>
        <w:t>12</w:t>
      </w:r>
      <w:r>
        <w:rPr>
          <w:rFonts w:ascii="宋体" w:hAnsi="宋体" w:hint="eastAsia"/>
          <w:b/>
          <w:szCs w:val="24"/>
          <w:u w:val="single"/>
        </w:rPr>
        <w:t>月</w:t>
      </w:r>
      <w:r>
        <w:rPr>
          <w:rFonts w:ascii="宋体" w:hAnsi="宋体" w:hint="eastAsia"/>
          <w:b/>
          <w:szCs w:val="24"/>
          <w:u w:val="single"/>
          <w:lang w:val="en-US" w:eastAsia="zh-CN"/>
        </w:rPr>
        <w:t>20</w:t>
      </w:r>
      <w:r>
        <w:rPr>
          <w:rFonts w:ascii="宋体" w:hAnsi="宋体" w:hint="eastAsia"/>
          <w:b/>
          <w:szCs w:val="24"/>
          <w:u w:val="single"/>
        </w:rPr>
        <w:t>日14:00（北京时间）</w:t>
      </w:r>
      <w:r>
        <w:rPr>
          <w:rFonts w:ascii="宋体" w:hAnsi="宋体" w:hint="eastAsia"/>
          <w:szCs w:val="24"/>
        </w:rPr>
        <w:t>，在深圳市中正招标有限公司公开开标。供应商可以登录“深圳政府采购智慧平台用户网上办事子系统（http://zfcg.szggzy.com:8081/TPBidder/memberLogin）”，在“【我的项目】→【项目流程】→【开标及解密】”进行在线解密、查询开标情况。</w:t>
      </w:r>
    </w:p>
    <w:p>
      <w:pPr>
        <w:widowControl/>
        <w:spacing w:line="360" w:lineRule="exact"/>
        <w:ind w:firstLine="424" w:firstLineChars="202"/>
        <w:rPr>
          <w:rFonts w:ascii="宋体" w:hAnsi="宋体"/>
          <w:szCs w:val="24"/>
        </w:rPr>
      </w:pPr>
      <w:r>
        <w:rPr>
          <w:rFonts w:ascii="宋体" w:hAnsi="宋体" w:hint="eastAsia"/>
          <w:b/>
          <w:szCs w:val="24"/>
        </w:rPr>
        <w:t>3、在线解密：投标人须在</w:t>
      </w:r>
      <w:r>
        <w:rPr>
          <w:rFonts w:ascii="宋体" w:hAnsi="宋体" w:hint="eastAsia"/>
          <w:b/>
          <w:szCs w:val="24"/>
          <w:u w:val="single"/>
        </w:rPr>
        <w:t>2023年</w:t>
      </w:r>
      <w:r>
        <w:rPr>
          <w:rFonts w:ascii="宋体" w:hAnsi="宋体" w:hint="eastAsia"/>
          <w:b/>
          <w:szCs w:val="24"/>
          <w:u w:val="single"/>
          <w:lang w:val="en-US" w:eastAsia="zh-CN"/>
        </w:rPr>
        <w:t>12</w:t>
      </w:r>
      <w:r>
        <w:rPr>
          <w:rFonts w:ascii="宋体" w:hAnsi="宋体" w:hint="eastAsia"/>
          <w:b/>
          <w:szCs w:val="24"/>
          <w:u w:val="single"/>
        </w:rPr>
        <w:t>月</w:t>
      </w:r>
      <w:r>
        <w:rPr>
          <w:rFonts w:ascii="宋体" w:hAnsi="宋体" w:hint="eastAsia"/>
          <w:b/>
          <w:szCs w:val="24"/>
          <w:u w:val="single"/>
          <w:lang w:val="en-US" w:eastAsia="zh-CN"/>
        </w:rPr>
        <w:t>20</w:t>
      </w:r>
      <w:r>
        <w:rPr>
          <w:rFonts w:ascii="宋体" w:hAnsi="宋体" w:hint="eastAsia"/>
          <w:b/>
          <w:szCs w:val="24"/>
          <w:u w:val="single"/>
        </w:rPr>
        <w:t>日14:00-15:00（北京时间）</w:t>
      </w:r>
      <w:r>
        <w:rPr>
          <w:rFonts w:ascii="宋体" w:hAnsi="宋体" w:hint="eastAsia"/>
          <w:b/>
          <w:szCs w:val="24"/>
        </w:rPr>
        <w:t>期间进行解密，逾期未解密的作无效处理。</w:t>
      </w:r>
      <w:r>
        <w:rPr>
          <w:rFonts w:ascii="宋体" w:hAnsi="宋体" w:hint="eastAsia"/>
          <w:szCs w:val="24"/>
        </w:rPr>
        <w:t>解密方法：登录“深圳政府采购智慧平台用户网上办事子系统（http://zfcg.szggzy.com:8081/TPBidder/memberLogin）”，使用本单位制作电子投标文件同一个电子密钥，在“【我的项目】→【项目流程】→【开标及解密】”进行在线解密、查询开标情况。</w:t>
      </w:r>
    </w:p>
    <w:p>
      <w:pPr>
        <w:widowControl/>
        <w:spacing w:line="360" w:lineRule="exact"/>
        <w:ind w:left="420" w:leftChars="200"/>
        <w:rPr>
          <w:rFonts w:ascii="宋体" w:hAnsi="宋体"/>
          <w:szCs w:val="24"/>
        </w:rPr>
      </w:pPr>
    </w:p>
    <w:p>
      <w:pPr>
        <w:widowControl/>
        <w:spacing w:line="360" w:lineRule="exact"/>
        <w:rPr>
          <w:rFonts w:ascii="宋体" w:hAnsi="宋体"/>
          <w:szCs w:val="24"/>
        </w:rPr>
      </w:pPr>
      <w:r>
        <w:rPr>
          <w:rFonts w:ascii="宋体" w:hAnsi="宋体"/>
          <w:szCs w:val="24"/>
        </w:rPr>
        <w:t>五、公告期限</w:t>
      </w:r>
    </w:p>
    <w:p>
      <w:pPr>
        <w:widowControl/>
        <w:spacing w:line="360" w:lineRule="exact"/>
        <w:ind w:firstLine="420" w:firstLineChars="200"/>
        <w:rPr>
          <w:rFonts w:ascii="宋体" w:hAnsi="宋体"/>
          <w:szCs w:val="24"/>
        </w:rPr>
      </w:pPr>
      <w:r>
        <w:rPr>
          <w:rFonts w:ascii="宋体" w:hAnsi="宋体"/>
          <w:szCs w:val="24"/>
        </w:rPr>
        <w:t>自本公告发布之日起5个工作日。</w:t>
      </w:r>
    </w:p>
    <w:p>
      <w:pPr>
        <w:widowControl/>
        <w:spacing w:line="360" w:lineRule="exact"/>
        <w:ind w:firstLine="420" w:firstLineChars="200"/>
        <w:rPr>
          <w:rFonts w:ascii="宋体" w:hAnsi="宋体"/>
          <w:szCs w:val="24"/>
        </w:rPr>
      </w:pPr>
    </w:p>
    <w:p>
      <w:pPr>
        <w:widowControl/>
        <w:spacing w:line="360" w:lineRule="exact"/>
        <w:rPr>
          <w:rFonts w:ascii="宋体" w:hAnsi="宋体"/>
          <w:szCs w:val="24"/>
        </w:rPr>
      </w:pPr>
      <w:r>
        <w:rPr>
          <w:rFonts w:ascii="宋体" w:hAnsi="宋体"/>
          <w:szCs w:val="24"/>
        </w:rPr>
        <w:t>六、其他补充事宜</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hint="eastAsia"/>
          <w:szCs w:val="24"/>
        </w:rPr>
        <w:t>1、本项目实行网上投标，采用电子投标文件。</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hint="eastAsia"/>
          <w:szCs w:val="24"/>
        </w:rPr>
        <w:t>2、采购文件澄清/修改事项：</w:t>
      </w:r>
      <w:r>
        <w:rPr>
          <w:rFonts w:asciiTheme="minorEastAsia" w:eastAsiaTheme="minorEastAsia" w:hAnsiTheme="minorEastAsia" w:hint="eastAsia"/>
          <w:b/>
          <w:szCs w:val="24"/>
          <w:u w:val="single"/>
        </w:rPr>
        <w:t>2023年</w:t>
      </w:r>
      <w:r>
        <w:rPr>
          <w:rFonts w:asciiTheme="minorEastAsia" w:eastAsiaTheme="minorEastAsia" w:hAnsiTheme="minorEastAsia" w:hint="eastAsia"/>
          <w:b/>
          <w:szCs w:val="24"/>
          <w:u w:val="single"/>
          <w:lang w:val="en-US" w:eastAsia="zh-CN"/>
        </w:rPr>
        <w:t>12</w:t>
      </w:r>
      <w:r>
        <w:rPr>
          <w:rFonts w:asciiTheme="minorEastAsia" w:eastAsiaTheme="minorEastAsia" w:hAnsiTheme="minorEastAsia" w:hint="eastAsia"/>
          <w:b/>
          <w:szCs w:val="24"/>
          <w:u w:val="single"/>
        </w:rPr>
        <w:t>月</w:t>
      </w:r>
      <w:r>
        <w:rPr>
          <w:rFonts w:asciiTheme="minorEastAsia" w:eastAsiaTheme="minorEastAsia" w:hAnsiTheme="minorEastAsia" w:hint="eastAsia"/>
          <w:b/>
          <w:szCs w:val="24"/>
          <w:u w:val="single"/>
          <w:lang w:val="en-US" w:eastAsia="zh-CN"/>
        </w:rPr>
        <w:t>15</w:t>
      </w:r>
      <w:r>
        <w:rPr>
          <w:rFonts w:asciiTheme="minorEastAsia" w:eastAsiaTheme="minorEastAsia" w:hAnsiTheme="minorEastAsia" w:hint="eastAsia"/>
          <w:b/>
          <w:szCs w:val="24"/>
          <w:u w:val="single"/>
        </w:rPr>
        <w:t>日00:00（北京时间）</w:t>
      </w:r>
      <w:r>
        <w:rPr>
          <w:rFonts w:asciiTheme="minorEastAsia" w:eastAsiaTheme="minorEastAsia" w:hAnsiTheme="minorEastAsia" w:hint="eastAsia"/>
          <w:szCs w:val="24"/>
        </w:rPr>
        <w:t>前，供应商如果认为采购文件存在不明确、不清晰和前后不一致等问题，可登录“深圳政府采购智慧平台用户网上办事子系统（http://zfcg.szggzy.com:8081/TPBidder/memberLogin）”，在“【我的项目】→【项目流程】→【提问】”功能点中填写需澄清内容。</w:t>
      </w:r>
      <w:r>
        <w:rPr>
          <w:rFonts w:asciiTheme="minorEastAsia" w:eastAsiaTheme="minorEastAsia" w:hAnsiTheme="minorEastAsia" w:hint="eastAsia"/>
          <w:b/>
          <w:szCs w:val="24"/>
          <w:u w:val="single"/>
        </w:rPr>
        <w:t>2023年</w:t>
      </w:r>
      <w:r>
        <w:rPr>
          <w:rFonts w:asciiTheme="minorEastAsia" w:eastAsiaTheme="minorEastAsia" w:hAnsiTheme="minorEastAsia" w:hint="eastAsia"/>
          <w:b/>
          <w:szCs w:val="24"/>
          <w:u w:val="single"/>
          <w:lang w:val="en-US" w:eastAsia="zh-CN"/>
        </w:rPr>
        <w:t>12</w:t>
      </w:r>
      <w:r>
        <w:rPr>
          <w:rFonts w:asciiTheme="minorEastAsia" w:eastAsiaTheme="minorEastAsia" w:hAnsiTheme="minorEastAsia" w:hint="eastAsia"/>
          <w:b/>
          <w:szCs w:val="24"/>
          <w:u w:val="single"/>
        </w:rPr>
        <w:t>月</w:t>
      </w:r>
      <w:r>
        <w:rPr>
          <w:rFonts w:asciiTheme="minorEastAsia" w:eastAsiaTheme="minorEastAsia" w:hAnsiTheme="minorEastAsia" w:hint="eastAsia"/>
          <w:b/>
          <w:szCs w:val="24"/>
          <w:u w:val="single"/>
          <w:lang w:val="en-US" w:eastAsia="zh-CN"/>
        </w:rPr>
        <w:t>17</w:t>
      </w:r>
      <w:r>
        <w:rPr>
          <w:rFonts w:asciiTheme="minorEastAsia" w:eastAsiaTheme="minorEastAsia" w:hAnsiTheme="minorEastAsia" w:hint="eastAsia"/>
          <w:b/>
          <w:szCs w:val="24"/>
          <w:u w:val="single"/>
        </w:rPr>
        <w:t>日00:00（北京时间）</w:t>
      </w:r>
      <w:r>
        <w:rPr>
          <w:rFonts w:asciiTheme="minorEastAsia" w:eastAsiaTheme="minorEastAsia" w:hAnsiTheme="minorEastAsia" w:hint="eastAsia"/>
          <w:szCs w:val="24"/>
        </w:rPr>
        <w:t>前将采购文件澄清/修改情况在“【我的项目】→【项目流程】→【答疑澄清文件下载】”中公布，望投标人予以关注。</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hint="eastAsia"/>
          <w:szCs w:val="24"/>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请质疑供应商根据深圳公共资源交易网（ https://www.szggzy.com/fwdh/fwdhzfcg/bszn1/content_203163.html ）所发布的质疑指引、质疑函模板填写质疑函并提交质疑材料。质疑材料可以采用现场或邮寄方式提交，采用邮寄方式提交的，交邮时间应在本公告发布之日起七个工作日内。质疑材料现场提交、邮寄地址：深圳市福田区民田路171号新华保险大厦903深圳市中正招标有限公司。质疑咨询电话：0755-83026699。根据《深圳经济特区政府采购条例》第四十二条“供应商投诉的事项应当是经过质疑的事项”的规定，未经正式质疑的，将影响供应商行使向财政部门提起投诉的权利。）</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hint="eastAsia"/>
          <w:szCs w:val="24"/>
        </w:rPr>
        <w:t xml:space="preserve">3、深圳市中正招标有限公司有权对投标人就本项目要求提供的相关证明资料（原件）进行审查。供应商提供虚假资料被查实的，则可能面临被取消本项目中标资格、列入不良行为记录名单和三年内禁止参与深圳市政府采购活动的风险。 </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hint="eastAsia"/>
          <w:szCs w:val="24"/>
        </w:rPr>
        <w:t>4、本招标公告及本项目招标文件所涉及的时间一律为北京时间。投标人有义务在招标活动期间浏览深圳公共资源交易网（</w:t>
      </w:r>
      <w:r>
        <w:rPr>
          <w:rFonts w:asciiTheme="minorEastAsia" w:eastAsiaTheme="minorEastAsia" w:hAnsiTheme="minorEastAsia"/>
          <w:szCs w:val="24"/>
        </w:rPr>
        <w:t>https://www.szggzy.com</w:t>
      </w:r>
      <w:r>
        <w:rPr>
          <w:rFonts w:asciiTheme="minorEastAsia" w:eastAsiaTheme="minorEastAsia" w:hAnsiTheme="minorEastAsia" w:hint="eastAsia"/>
          <w:szCs w:val="24"/>
        </w:rPr>
        <w:t>），在深圳公共资源交易网上公布的与本次招标项目有关的信息视为已送达各投标人。</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hint="eastAsia"/>
          <w:szCs w:val="24"/>
        </w:rPr>
        <w:t>5、本项目不需要投标保证金</w:t>
      </w:r>
      <w:r>
        <w:rPr>
          <w:rFonts w:asciiTheme="minorEastAsia" w:eastAsiaTheme="minorEastAsia" w:hAnsiTheme="minorEastAsia"/>
          <w:szCs w:val="24"/>
        </w:rPr>
        <w:t>。</w:t>
      </w:r>
    </w:p>
    <w:p>
      <w:pPr>
        <w:widowControl/>
        <w:spacing w:line="360" w:lineRule="exact"/>
        <w:ind w:firstLine="424" w:firstLineChars="202"/>
        <w:rPr>
          <w:rFonts w:ascii="宋体" w:hAnsi="宋体"/>
          <w:szCs w:val="24"/>
        </w:rPr>
      </w:pPr>
    </w:p>
    <w:p>
      <w:pPr>
        <w:widowControl/>
        <w:spacing w:line="360" w:lineRule="exact"/>
        <w:rPr>
          <w:rFonts w:ascii="宋体" w:hAnsi="宋体"/>
          <w:szCs w:val="24"/>
        </w:rPr>
      </w:pPr>
      <w:r>
        <w:rPr>
          <w:rFonts w:ascii="宋体" w:hAnsi="宋体"/>
          <w:szCs w:val="24"/>
        </w:rPr>
        <w:t>七、对本次招标提出询问，请按以下方式联系。</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hint="eastAsia"/>
          <w:szCs w:val="24"/>
        </w:rPr>
        <w:t>1、</w:t>
      </w:r>
      <w:r>
        <w:rPr>
          <w:rFonts w:asciiTheme="minorEastAsia" w:eastAsiaTheme="minorEastAsia" w:hAnsiTheme="minorEastAsia"/>
          <w:szCs w:val="24"/>
        </w:rPr>
        <w:t xml:space="preserve">采购人信息 </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hint="eastAsia"/>
          <w:szCs w:val="24"/>
        </w:rPr>
        <w:t>名称：深圳市市容景观事务中心</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hint="eastAsia"/>
          <w:szCs w:val="24"/>
        </w:rPr>
        <w:t>地址：深圳市福田区莲花街道莲花支路1004号城管大厦西座</w:t>
      </w:r>
    </w:p>
    <w:p>
      <w:pPr>
        <w:spacing w:line="360" w:lineRule="exact"/>
        <w:ind w:firstLine="424" w:firstLineChars="202"/>
        <w:rPr>
          <w:rFonts w:asciiTheme="minorEastAsia" w:eastAsiaTheme="minorEastAsia" w:hAnsiTheme="minorEastAsia" w:hint="default"/>
          <w:szCs w:val="24"/>
          <w:lang w:val="en-US" w:eastAsia="zh-CN"/>
        </w:rPr>
      </w:pPr>
      <w:r>
        <w:rPr>
          <w:rFonts w:asciiTheme="minorEastAsia" w:eastAsiaTheme="minorEastAsia" w:hAnsiTheme="minorEastAsia" w:hint="eastAsia"/>
          <w:szCs w:val="24"/>
        </w:rPr>
        <w:t>联系方式：</w:t>
      </w:r>
      <w:r>
        <w:rPr>
          <w:rFonts w:asciiTheme="minorEastAsia" w:eastAsiaTheme="minorEastAsia" w:hAnsiTheme="minorEastAsia" w:hint="eastAsia"/>
          <w:szCs w:val="24"/>
          <w:lang w:val="en-US" w:eastAsia="zh-CN"/>
        </w:rPr>
        <w:t>蔡工，0755-82908059</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szCs w:val="24"/>
        </w:rPr>
        <w:t xml:space="preserve">采购代理机构信息 </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szCs w:val="24"/>
        </w:rPr>
        <w:t xml:space="preserve">名称：深圳市中正招标有限公司 </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szCs w:val="24"/>
        </w:rPr>
        <w:t>地址：深圳市福田区</w:t>
      </w:r>
      <w:r>
        <w:rPr>
          <w:rFonts w:asciiTheme="minorEastAsia" w:eastAsiaTheme="minorEastAsia" w:hAnsiTheme="minorEastAsia" w:hint="eastAsia"/>
          <w:szCs w:val="24"/>
        </w:rPr>
        <w:t>民田路171号新华保险大厦903</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szCs w:val="24"/>
        </w:rPr>
        <w:t>联系方式：0755-83026699</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hint="eastAsia"/>
          <w:szCs w:val="24"/>
        </w:rPr>
        <w:t>3、</w:t>
      </w:r>
      <w:r>
        <w:rPr>
          <w:rFonts w:asciiTheme="minorEastAsia" w:eastAsiaTheme="minorEastAsia" w:hAnsiTheme="minorEastAsia"/>
          <w:szCs w:val="24"/>
        </w:rPr>
        <w:t xml:space="preserve">项目联系方式 </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szCs w:val="24"/>
        </w:rPr>
        <w:t>项目联系人：</w:t>
      </w:r>
      <w:r>
        <w:rPr>
          <w:rFonts w:asciiTheme="minorEastAsia" w:eastAsiaTheme="minorEastAsia" w:hAnsiTheme="minorEastAsia" w:hint="eastAsia"/>
          <w:szCs w:val="24"/>
        </w:rPr>
        <w:t>李先生</w:t>
      </w:r>
      <w:r>
        <w:rPr>
          <w:rFonts w:asciiTheme="minorEastAsia" w:eastAsiaTheme="minorEastAsia" w:hAnsiTheme="minorEastAsia"/>
          <w:szCs w:val="24"/>
        </w:rPr>
        <w:t xml:space="preserve"> </w:t>
      </w:r>
    </w:p>
    <w:p>
      <w:pPr>
        <w:spacing w:line="360" w:lineRule="exact"/>
        <w:ind w:firstLine="424" w:firstLineChars="202"/>
        <w:rPr>
          <w:rFonts w:asciiTheme="minorEastAsia" w:eastAsiaTheme="minorEastAsia" w:hAnsiTheme="minorEastAsia"/>
          <w:szCs w:val="24"/>
        </w:rPr>
      </w:pPr>
      <w:r>
        <w:rPr>
          <w:rFonts w:asciiTheme="minorEastAsia" w:eastAsiaTheme="minorEastAsia" w:hAnsiTheme="minorEastAsia"/>
          <w:szCs w:val="24"/>
        </w:rPr>
        <w:t>电话：</w:t>
      </w:r>
      <w:r>
        <w:rPr>
          <w:rFonts w:asciiTheme="minorEastAsia" w:eastAsiaTheme="minorEastAsia" w:hAnsiTheme="minorEastAsia" w:hint="eastAsia"/>
          <w:szCs w:val="24"/>
        </w:rPr>
        <w:t>0755-83026699</w:t>
      </w:r>
    </w:p>
    <w:p>
      <w:pPr>
        <w:spacing w:line="360" w:lineRule="exact"/>
        <w:ind w:firstLine="424" w:firstLineChars="202"/>
        <w:rPr>
          <w:rFonts w:asciiTheme="minorEastAsia" w:eastAsiaTheme="minorEastAsia" w:hAnsiTheme="minorEastAsia"/>
          <w:szCs w:val="24"/>
        </w:rPr>
      </w:pPr>
    </w:p>
    <w:p>
      <w:pPr>
        <w:widowControl/>
        <w:spacing w:line="360" w:lineRule="exact"/>
        <w:ind w:firstLine="424" w:firstLineChars="202"/>
        <w:jc w:val="right"/>
        <w:rPr>
          <w:rFonts w:ascii="宋体" w:hAnsi="宋体"/>
          <w:sz w:val="24"/>
          <w:szCs w:val="24"/>
        </w:rPr>
      </w:pPr>
      <w:r>
        <w:rPr>
          <w:rFonts w:ascii="宋体" w:hAnsi="宋体" w:hint="eastAsia"/>
          <w:sz w:val="24"/>
          <w:szCs w:val="24"/>
        </w:rPr>
        <w:t>深圳市中正招标有限公司</w:t>
      </w:r>
    </w:p>
    <w:p>
      <w:pPr>
        <w:widowControl/>
        <w:spacing w:line="360" w:lineRule="exact"/>
        <w:ind w:firstLine="424" w:firstLineChars="202"/>
        <w:jc w:val="right"/>
        <w:rPr>
          <w:rFonts w:ascii="宋体" w:hAnsi="宋体"/>
          <w:szCs w:val="21"/>
        </w:rPr>
      </w:pPr>
      <w:r>
        <w:rPr>
          <w:rFonts w:ascii="宋体" w:hAnsi="宋体" w:hint="eastAsia"/>
          <w:sz w:val="24"/>
          <w:szCs w:val="24"/>
        </w:rPr>
        <w:t>2023年</w:t>
      </w:r>
      <w:r>
        <w:rPr>
          <w:rFonts w:ascii="宋体" w:hAnsi="宋体" w:hint="eastAsia"/>
          <w:sz w:val="24"/>
          <w:szCs w:val="24"/>
          <w:lang w:val="en-US" w:eastAsia="zh-CN"/>
        </w:rPr>
        <w:t>12</w:t>
      </w:r>
      <w:r>
        <w:rPr>
          <w:rFonts w:ascii="宋体" w:hAnsi="宋体" w:hint="eastAsia"/>
          <w:sz w:val="24"/>
          <w:szCs w:val="24"/>
        </w:rPr>
        <w:t>月</w:t>
      </w:r>
      <w:r>
        <w:rPr>
          <w:rFonts w:ascii="宋体" w:hAnsi="宋体" w:hint="eastAsia"/>
          <w:sz w:val="24"/>
          <w:szCs w:val="24"/>
          <w:lang w:val="en-US" w:eastAsia="zh-CN"/>
        </w:rPr>
        <w:t>08</w:t>
      </w:r>
      <w:r>
        <w:rPr>
          <w:rFonts w:ascii="宋体" w:hAnsi="宋体" w:hint="eastAsia"/>
          <w:sz w:val="24"/>
          <w:szCs w:val="24"/>
        </w:rPr>
        <w:t>日</w:t>
      </w:r>
      <w:bookmarkEnd w:id="1"/>
      <w:bookmarkEnd w:id="2"/>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rPr>
          <w:rFonts w:ascii="宋体" w:hAnsi="宋体"/>
          <w:b/>
          <w:bCs/>
          <w:kern w:val="0"/>
          <w:sz w:val="24"/>
          <w:szCs w:val="20"/>
        </w:rPr>
      </w:pPr>
      <w:r>
        <w:rPr>
          <w:rFonts w:ascii="宋体" w:hAnsi="宋体" w:hint="eastAsia"/>
          <w:b/>
          <w:bCs/>
          <w:kern w:val="0"/>
          <w:sz w:val="24"/>
          <w:szCs w:val="20"/>
        </w:rPr>
        <w:br w:type="page"/>
      </w:r>
    </w:p>
    <w:p>
      <w:pPr>
        <w:keepNext/>
        <w:keepLines/>
        <w:adjustRightInd w:val="0"/>
        <w:spacing w:before="260" w:after="260"/>
        <w:jc w:val="center"/>
        <w:textAlignment w:val="baseline"/>
        <w:outlineLvl w:val="1"/>
        <w:rPr>
          <w:rFonts w:ascii="宋体" w:hAnsi="宋体"/>
          <w:b/>
          <w:bCs/>
          <w:kern w:val="0"/>
          <w:sz w:val="24"/>
          <w:szCs w:val="20"/>
        </w:rPr>
      </w:pPr>
      <w:r>
        <w:rPr>
          <w:rFonts w:ascii="宋体" w:hAnsi="宋体" w:hint="eastAsia"/>
          <w:b/>
          <w:bCs/>
          <w:kern w:val="0"/>
          <w:sz w:val="24"/>
          <w:szCs w:val="20"/>
        </w:rPr>
        <w:t>第二章  招标项目需求</w:t>
      </w:r>
    </w:p>
    <w:p>
      <w:pPr>
        <w:keepNext/>
        <w:keepLines/>
        <w:adjustRightInd w:val="0"/>
        <w:spacing w:before="156" w:beforeLines="50" w:after="156" w:afterLines="50"/>
        <w:jc w:val="center"/>
        <w:textAlignment w:val="baseline"/>
        <w:outlineLvl w:val="1"/>
        <w:rPr>
          <w:rFonts w:ascii="宋体" w:hAnsi="宋体"/>
          <w:b/>
          <w:bCs/>
          <w:kern w:val="0"/>
          <w:sz w:val="28"/>
          <w:szCs w:val="28"/>
        </w:rPr>
      </w:pPr>
      <w:bookmarkStart w:id="3" w:name="_Toc73521547"/>
      <w:bookmarkStart w:id="4" w:name="_Toc101074876"/>
      <w:bookmarkStart w:id="5" w:name="_Toc60560625"/>
      <w:bookmarkStart w:id="6" w:name="_Toc73517639"/>
      <w:bookmarkStart w:id="7" w:name="_Toc100052364"/>
      <w:bookmarkStart w:id="8" w:name="_Toc73521635"/>
      <w:bookmarkStart w:id="9" w:name="_Toc60631620"/>
      <w:bookmarkStart w:id="10" w:name="_Toc73518117"/>
      <w:r>
        <w:rPr>
          <w:rFonts w:ascii="宋体" w:hAnsi="宋体" w:hint="eastAsia"/>
          <w:b/>
          <w:bCs/>
          <w:kern w:val="0"/>
          <w:sz w:val="28"/>
          <w:szCs w:val="28"/>
        </w:rPr>
        <w:t>一、对通用条款的补充内容</w:t>
      </w:r>
    </w:p>
    <w:tbl>
      <w:tblPr>
        <w:tblStyle w:val="TableNormal"/>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0" w:type="dxa"/>
          <w:left w:w="108" w:type="dxa"/>
          <w:bottom w:w="0" w:type="dxa"/>
          <w:right w:w="108" w:type="dxa"/>
        </w:tblCellMar>
      </w:tblPr>
      <w:tblGrid>
        <w:gridCol w:w="807"/>
        <w:gridCol w:w="2160"/>
        <w:gridCol w:w="5400"/>
      </w:tblGrid>
      <w:tr>
        <w:tblPrEx>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0" w:type="dxa"/>
            <w:left w:w="108" w:type="dxa"/>
            <w:bottom w:w="0" w:type="dxa"/>
            <w:right w:w="108" w:type="dxa"/>
          </w:tblCellMar>
        </w:tblPrEx>
        <w:trPr>
          <w:cantSplit/>
          <w:trHeight w:val="20"/>
          <w:jc w:val="center"/>
        </w:trPr>
        <w:tc>
          <w:tcPr>
            <w:tcW w:w="807" w:type="dxa"/>
            <w:vAlign w:val="center"/>
          </w:tcPr>
          <w:p>
            <w:pPr>
              <w:jc w:val="center"/>
              <w:rPr>
                <w:rFonts w:ascii="宋体" w:hAnsi="宋体"/>
                <w:b/>
                <w:bCs/>
                <w:szCs w:val="24"/>
              </w:rPr>
            </w:pPr>
            <w:bookmarkEnd w:id="3"/>
            <w:bookmarkEnd w:id="4"/>
            <w:bookmarkEnd w:id="5"/>
            <w:bookmarkEnd w:id="6"/>
            <w:bookmarkEnd w:id="7"/>
            <w:bookmarkEnd w:id="8"/>
            <w:bookmarkEnd w:id="9"/>
            <w:bookmarkEnd w:id="10"/>
            <w:r>
              <w:rPr>
                <w:rFonts w:ascii="宋体" w:hAnsi="宋体" w:hint="eastAsia"/>
                <w:b/>
                <w:bCs/>
                <w:szCs w:val="24"/>
              </w:rPr>
              <w:t>序号</w:t>
            </w:r>
          </w:p>
        </w:tc>
        <w:tc>
          <w:tcPr>
            <w:tcW w:w="2160" w:type="dxa"/>
            <w:vAlign w:val="center"/>
          </w:tcPr>
          <w:p>
            <w:pPr>
              <w:jc w:val="center"/>
              <w:rPr>
                <w:rFonts w:ascii="宋体" w:hAnsi="宋体"/>
                <w:b/>
                <w:bCs/>
                <w:szCs w:val="24"/>
              </w:rPr>
            </w:pPr>
            <w:r>
              <w:rPr>
                <w:rFonts w:ascii="宋体" w:hAnsi="宋体" w:hint="eastAsia"/>
                <w:b/>
                <w:bCs/>
                <w:szCs w:val="24"/>
              </w:rPr>
              <w:t>内   容</w:t>
            </w:r>
          </w:p>
        </w:tc>
        <w:tc>
          <w:tcPr>
            <w:tcW w:w="5400" w:type="dxa"/>
            <w:vAlign w:val="center"/>
          </w:tcPr>
          <w:p>
            <w:pPr>
              <w:jc w:val="center"/>
              <w:rPr>
                <w:rFonts w:ascii="宋体" w:hAnsi="宋体"/>
                <w:b/>
                <w:bCs/>
                <w:szCs w:val="24"/>
              </w:rPr>
            </w:pPr>
            <w:r>
              <w:rPr>
                <w:rFonts w:ascii="宋体" w:hAnsi="宋体" w:hint="eastAsia"/>
                <w:b/>
                <w:bCs/>
                <w:szCs w:val="24"/>
              </w:rPr>
              <w:t>规      定</w:t>
            </w:r>
          </w:p>
        </w:tc>
      </w:tr>
      <w:tr>
        <w:tblPrEx>
          <w:tblW w:w="8367" w:type="dxa"/>
          <w:jc w:val="center"/>
          <w:tblLayout w:type="fixed"/>
          <w:tblCellMar>
            <w:top w:w="0" w:type="dxa"/>
            <w:left w:w="108" w:type="dxa"/>
            <w:bottom w:w="0" w:type="dxa"/>
            <w:right w:w="108" w:type="dxa"/>
          </w:tblCellMar>
        </w:tblPrEx>
        <w:trPr>
          <w:cantSplit/>
          <w:trHeight w:val="365"/>
          <w:jc w:val="center"/>
        </w:trPr>
        <w:tc>
          <w:tcPr>
            <w:tcW w:w="807" w:type="dxa"/>
            <w:vAlign w:val="center"/>
          </w:tcPr>
          <w:p>
            <w:pPr>
              <w:jc w:val="center"/>
              <w:rPr>
                <w:rFonts w:ascii="宋体" w:hAnsi="宋体"/>
                <w:szCs w:val="24"/>
              </w:rPr>
            </w:pPr>
            <w:r>
              <w:rPr>
                <w:rFonts w:ascii="宋体" w:hAnsi="宋体" w:hint="eastAsia"/>
                <w:szCs w:val="24"/>
              </w:rPr>
              <w:t>1</w:t>
            </w:r>
          </w:p>
        </w:tc>
        <w:tc>
          <w:tcPr>
            <w:tcW w:w="2160" w:type="dxa"/>
            <w:vAlign w:val="center"/>
          </w:tcPr>
          <w:p>
            <w:pPr>
              <w:jc w:val="center"/>
              <w:rPr>
                <w:rFonts w:ascii="Times New Roman" w:hAnsi="Times New Roman"/>
                <w:szCs w:val="24"/>
              </w:rPr>
            </w:pPr>
            <w:r>
              <w:rPr>
                <w:rFonts w:ascii="Times New Roman" w:hAnsi="Times New Roman" w:hint="eastAsia"/>
                <w:szCs w:val="24"/>
              </w:rPr>
              <w:t>联合体投标</w:t>
            </w:r>
          </w:p>
        </w:tc>
        <w:tc>
          <w:tcPr>
            <w:tcW w:w="5400" w:type="dxa"/>
            <w:vAlign w:val="center"/>
          </w:tcPr>
          <w:p>
            <w:pPr>
              <w:rPr>
                <w:rFonts w:ascii="宋体" w:hAnsi="宋体"/>
                <w:snapToGrid w:val="0"/>
                <w:kern w:val="0"/>
                <w:szCs w:val="32"/>
                <w:lang w:val="zh-CN"/>
              </w:rPr>
            </w:pPr>
            <w:r>
              <w:rPr>
                <w:rFonts w:ascii="宋体" w:hAnsi="宋体" w:hint="eastAsia"/>
                <w:snapToGrid w:val="0"/>
                <w:kern w:val="0"/>
                <w:szCs w:val="32"/>
                <w:lang w:val="zh-CN"/>
              </w:rPr>
              <w:t>见《招标公告》中“项目基本情况”部分的相关内容</w:t>
            </w:r>
          </w:p>
        </w:tc>
      </w:tr>
      <w:tr>
        <w:tblPrEx>
          <w:tblW w:w="8367" w:type="dxa"/>
          <w:jc w:val="center"/>
          <w:tblLayout w:type="fixed"/>
          <w:tblCellMar>
            <w:top w:w="0" w:type="dxa"/>
            <w:left w:w="108" w:type="dxa"/>
            <w:bottom w:w="0" w:type="dxa"/>
            <w:right w:w="108" w:type="dxa"/>
          </w:tblCellMar>
        </w:tblPrEx>
        <w:trPr>
          <w:cantSplit/>
          <w:trHeight w:val="365"/>
          <w:jc w:val="center"/>
        </w:trPr>
        <w:tc>
          <w:tcPr>
            <w:tcW w:w="807" w:type="dxa"/>
            <w:vAlign w:val="center"/>
          </w:tcPr>
          <w:p>
            <w:pPr>
              <w:jc w:val="center"/>
              <w:rPr>
                <w:rFonts w:ascii="宋体" w:hAnsi="宋体"/>
                <w:szCs w:val="24"/>
              </w:rPr>
            </w:pPr>
            <w:r>
              <w:rPr>
                <w:rFonts w:ascii="宋体" w:hAnsi="宋体" w:hint="eastAsia"/>
                <w:szCs w:val="24"/>
              </w:rPr>
              <w:t>2</w:t>
            </w:r>
          </w:p>
        </w:tc>
        <w:tc>
          <w:tcPr>
            <w:tcW w:w="2160" w:type="dxa"/>
            <w:vAlign w:val="center"/>
          </w:tcPr>
          <w:p>
            <w:pPr>
              <w:jc w:val="center"/>
              <w:rPr>
                <w:rFonts w:ascii="宋体" w:hAnsi="宋体"/>
                <w:szCs w:val="24"/>
              </w:rPr>
            </w:pPr>
            <w:r>
              <w:rPr>
                <w:rFonts w:ascii="宋体" w:hAnsi="宋体" w:hint="eastAsia"/>
                <w:szCs w:val="24"/>
              </w:rPr>
              <w:t>投标有效期</w:t>
            </w:r>
          </w:p>
        </w:tc>
        <w:tc>
          <w:tcPr>
            <w:tcW w:w="5400" w:type="dxa"/>
            <w:vAlign w:val="center"/>
          </w:tcPr>
          <w:p>
            <w:pPr>
              <w:rPr>
                <w:rFonts w:ascii="宋体" w:hAnsi="宋体"/>
                <w:szCs w:val="24"/>
              </w:rPr>
            </w:pPr>
            <w:r>
              <w:rPr>
                <w:rFonts w:ascii="宋体" w:hAnsi="宋体" w:hint="eastAsia"/>
                <w:szCs w:val="24"/>
                <w:u w:val="single"/>
              </w:rPr>
              <w:t>90</w:t>
            </w:r>
            <w:r>
              <w:rPr>
                <w:rFonts w:ascii="宋体" w:hAnsi="宋体"/>
                <w:szCs w:val="24"/>
                <w:u w:val="single"/>
              </w:rPr>
              <w:t>日历天</w:t>
            </w:r>
            <w:r>
              <w:rPr>
                <w:rFonts w:ascii="宋体" w:hAnsi="宋体"/>
                <w:szCs w:val="24"/>
              </w:rPr>
              <w:t>（从投标截止之日算起）</w:t>
            </w:r>
          </w:p>
        </w:tc>
      </w:tr>
      <w:tr>
        <w:tblPrEx>
          <w:tblW w:w="8367" w:type="dxa"/>
          <w:jc w:val="center"/>
          <w:tblLayout w:type="fixed"/>
          <w:tblCellMar>
            <w:top w:w="0" w:type="dxa"/>
            <w:left w:w="108" w:type="dxa"/>
            <w:bottom w:w="0" w:type="dxa"/>
            <w:right w:w="108" w:type="dxa"/>
          </w:tblCellMar>
        </w:tblPrEx>
        <w:trPr>
          <w:cantSplit/>
          <w:trHeight w:val="365"/>
          <w:jc w:val="center"/>
        </w:trPr>
        <w:tc>
          <w:tcPr>
            <w:tcW w:w="807" w:type="dxa"/>
            <w:vAlign w:val="center"/>
          </w:tcPr>
          <w:p>
            <w:pPr>
              <w:jc w:val="center"/>
              <w:rPr>
                <w:rFonts w:ascii="宋体" w:hAnsi="宋体"/>
                <w:szCs w:val="24"/>
              </w:rPr>
            </w:pPr>
            <w:r>
              <w:rPr>
                <w:rFonts w:ascii="宋体" w:hAnsi="宋体" w:hint="eastAsia"/>
                <w:szCs w:val="24"/>
              </w:rPr>
              <w:t>3</w:t>
            </w:r>
          </w:p>
        </w:tc>
        <w:tc>
          <w:tcPr>
            <w:tcW w:w="2160" w:type="dxa"/>
            <w:vAlign w:val="center"/>
          </w:tcPr>
          <w:p>
            <w:pPr>
              <w:jc w:val="center"/>
              <w:rPr>
                <w:rFonts w:ascii="宋体" w:hAnsi="宋体"/>
                <w:szCs w:val="24"/>
              </w:rPr>
            </w:pPr>
            <w:r>
              <w:rPr>
                <w:rFonts w:ascii="宋体" w:hAnsi="宋体" w:hint="eastAsia"/>
                <w:szCs w:val="24"/>
              </w:rPr>
              <w:t>投标人的替代方案</w:t>
            </w:r>
          </w:p>
        </w:tc>
        <w:tc>
          <w:tcPr>
            <w:tcW w:w="5400" w:type="dxa"/>
            <w:vAlign w:val="center"/>
          </w:tcPr>
          <w:p>
            <w:pPr>
              <w:rPr>
                <w:rFonts w:ascii="宋体" w:hAnsi="宋体"/>
                <w:szCs w:val="24"/>
              </w:rPr>
            </w:pPr>
            <w:r>
              <w:rPr>
                <w:rFonts w:ascii="宋体" w:hAnsi="宋体" w:hint="eastAsia"/>
                <w:szCs w:val="24"/>
              </w:rPr>
              <w:t>不允许</w:t>
            </w:r>
          </w:p>
        </w:tc>
      </w:tr>
      <w:tr>
        <w:tblPrEx>
          <w:tblW w:w="8367" w:type="dxa"/>
          <w:jc w:val="center"/>
          <w:tblLayout w:type="fixed"/>
          <w:tblCellMar>
            <w:top w:w="0" w:type="dxa"/>
            <w:left w:w="108" w:type="dxa"/>
            <w:bottom w:w="0" w:type="dxa"/>
            <w:right w:w="108" w:type="dxa"/>
          </w:tblCellMar>
        </w:tblPrEx>
        <w:trPr>
          <w:cantSplit/>
          <w:trHeight w:val="20"/>
          <w:jc w:val="center"/>
        </w:trPr>
        <w:tc>
          <w:tcPr>
            <w:tcW w:w="807" w:type="dxa"/>
            <w:vAlign w:val="center"/>
          </w:tcPr>
          <w:p>
            <w:pPr>
              <w:jc w:val="center"/>
              <w:rPr>
                <w:rFonts w:ascii="宋体" w:hAnsi="宋体"/>
                <w:szCs w:val="24"/>
              </w:rPr>
            </w:pPr>
            <w:r>
              <w:rPr>
                <w:rFonts w:ascii="宋体" w:hAnsi="宋体" w:hint="eastAsia"/>
                <w:szCs w:val="24"/>
              </w:rPr>
              <w:t>4</w:t>
            </w:r>
          </w:p>
        </w:tc>
        <w:tc>
          <w:tcPr>
            <w:tcW w:w="2160" w:type="dxa"/>
            <w:vAlign w:val="center"/>
          </w:tcPr>
          <w:p>
            <w:pPr>
              <w:jc w:val="center"/>
              <w:rPr>
                <w:rFonts w:ascii="宋体" w:hAnsi="宋体"/>
                <w:szCs w:val="24"/>
              </w:rPr>
            </w:pPr>
            <w:r>
              <w:rPr>
                <w:rFonts w:ascii="宋体" w:hAnsi="宋体" w:hint="eastAsia"/>
                <w:szCs w:val="24"/>
              </w:rPr>
              <w:t>投标文件的投递</w:t>
            </w:r>
          </w:p>
        </w:tc>
        <w:tc>
          <w:tcPr>
            <w:tcW w:w="5400" w:type="dxa"/>
            <w:vAlign w:val="center"/>
          </w:tcPr>
          <w:p>
            <w:pPr>
              <w:spacing w:line="360" w:lineRule="exact"/>
              <w:rPr>
                <w:rFonts w:ascii="宋体" w:hAnsi="宋体"/>
              </w:rPr>
            </w:pPr>
            <w:r>
              <w:rPr>
                <w:rFonts w:ascii="宋体" w:hAnsi="宋体" w:hint="eastAsia"/>
              </w:rPr>
              <w:t>本项目实行网上投标，投标人必须在招标文件规定的投标截止时间前登录“深圳政府采购智慧平台用户网上办事子系统”，使用“【我的项目】→【项目流程】→【递交投标(应答)文件】</w:t>
            </w:r>
            <w:r>
              <w:rPr>
                <w:rFonts w:ascii="宋体" w:hAnsi="宋体"/>
              </w:rPr>
              <w:t>”功能</w:t>
            </w:r>
            <w:r>
              <w:rPr>
                <w:rFonts w:ascii="宋体" w:hAnsi="宋体" w:hint="eastAsia"/>
              </w:rPr>
              <w:t>点，</w:t>
            </w:r>
            <w:r>
              <w:rPr>
                <w:rFonts w:ascii="宋体" w:hAnsi="宋体"/>
              </w:rPr>
              <w:t>将编制好的电子投标文件上传，投标文件大小不得超过</w:t>
            </w:r>
            <w:r>
              <w:rPr>
                <w:rFonts w:ascii="宋体" w:hAnsi="宋体" w:hint="eastAsia"/>
              </w:rPr>
              <w:t>20</w:t>
            </w:r>
            <w:r>
              <w:rPr>
                <w:rFonts w:ascii="宋体" w:hAnsi="宋体"/>
              </w:rPr>
              <w:t>0MB</w:t>
            </w:r>
            <w:r>
              <w:rPr>
                <w:rFonts w:ascii="宋体" w:hAnsi="宋体" w:cs="宋体" w:hint="eastAsia"/>
                <w:szCs w:val="21"/>
              </w:rPr>
              <w:t>，单个节点文件不能超过</w:t>
            </w:r>
            <w:r>
              <w:rPr>
                <w:rFonts w:ascii="宋体" w:hAnsi="宋体" w:cs="宋体"/>
                <w:szCs w:val="21"/>
              </w:rPr>
              <w:t>50M</w:t>
            </w:r>
            <w:r>
              <w:rPr>
                <w:rFonts w:ascii="宋体" w:hAnsi="宋体" w:cs="宋体" w:hint="eastAsia"/>
                <w:szCs w:val="21"/>
              </w:rPr>
              <w:t>B</w:t>
            </w:r>
            <w:r>
              <w:rPr>
                <w:rFonts w:ascii="宋体" w:hAnsi="宋体" w:hint="eastAsia"/>
              </w:rPr>
              <w:t>。</w:t>
            </w:r>
          </w:p>
        </w:tc>
      </w:tr>
      <w:tr>
        <w:tblPrEx>
          <w:tblW w:w="8367" w:type="dxa"/>
          <w:jc w:val="center"/>
          <w:tblLayout w:type="fixed"/>
          <w:tblCellMar>
            <w:top w:w="0" w:type="dxa"/>
            <w:left w:w="108" w:type="dxa"/>
            <w:bottom w:w="0" w:type="dxa"/>
            <w:right w:w="108" w:type="dxa"/>
          </w:tblCellMar>
        </w:tblPrEx>
        <w:trPr>
          <w:cantSplit/>
          <w:trHeight w:val="20"/>
          <w:jc w:val="center"/>
        </w:trPr>
        <w:tc>
          <w:tcPr>
            <w:tcW w:w="807" w:type="dxa"/>
            <w:vAlign w:val="center"/>
          </w:tcPr>
          <w:p>
            <w:pPr>
              <w:jc w:val="center"/>
              <w:rPr>
                <w:rFonts w:ascii="宋体" w:hAnsi="宋体"/>
                <w:szCs w:val="24"/>
              </w:rPr>
            </w:pPr>
            <w:r>
              <w:rPr>
                <w:rFonts w:ascii="宋体" w:hAnsi="宋体" w:hint="eastAsia"/>
                <w:szCs w:val="24"/>
              </w:rPr>
              <w:t>5</w:t>
            </w:r>
          </w:p>
        </w:tc>
        <w:tc>
          <w:tcPr>
            <w:tcW w:w="2160" w:type="dxa"/>
            <w:vAlign w:val="center"/>
          </w:tcPr>
          <w:p>
            <w:pPr>
              <w:jc w:val="center"/>
              <w:rPr>
                <w:rFonts w:ascii="宋体" w:hAnsi="宋体"/>
                <w:szCs w:val="24"/>
              </w:rPr>
            </w:pPr>
            <w:r>
              <w:rPr>
                <w:rFonts w:ascii="宋体" w:hAnsi="宋体" w:hint="eastAsia"/>
                <w:szCs w:val="24"/>
              </w:rPr>
              <w:t>中标服务费</w:t>
            </w:r>
          </w:p>
        </w:tc>
        <w:tc>
          <w:tcPr>
            <w:tcW w:w="5400" w:type="dxa"/>
            <w:vAlign w:val="center"/>
          </w:tcPr>
          <w:p>
            <w:pPr>
              <w:spacing w:line="360" w:lineRule="exact"/>
              <w:rPr>
                <w:rFonts w:ascii="宋体" w:hAnsi="宋体"/>
              </w:rPr>
            </w:pPr>
            <w:r>
              <w:rPr>
                <w:rFonts w:ascii="宋体" w:hAnsi="宋体" w:hint="eastAsia"/>
              </w:rPr>
              <w:t>1、中标人须向采购代理机构缴纳中标服务费，收费标准详见通用条款41.4，最低收取人民币7000元。</w:t>
            </w:r>
          </w:p>
          <w:p>
            <w:pPr>
              <w:spacing w:line="360" w:lineRule="exact"/>
              <w:rPr>
                <w:rFonts w:ascii="宋体" w:hAnsi="宋体"/>
              </w:rPr>
            </w:pPr>
            <w:r>
              <w:rPr>
                <w:rFonts w:ascii="宋体" w:hAnsi="宋体" w:hint="eastAsia"/>
              </w:rPr>
              <w:t>2、中标服务费缴纳至：</w:t>
            </w:r>
          </w:p>
          <w:p>
            <w:pPr>
              <w:spacing w:line="360" w:lineRule="exact"/>
              <w:rPr>
                <w:rFonts w:ascii="宋体" w:hAnsi="宋体"/>
              </w:rPr>
            </w:pPr>
            <w:r>
              <w:rPr>
                <w:rFonts w:ascii="宋体" w:hAnsi="宋体" w:hint="eastAsia"/>
              </w:rPr>
              <w:t>开户名称：</w:t>
            </w:r>
            <w:r>
              <w:rPr>
                <w:rFonts w:ascii="宋体" w:hAnsi="宋体" w:hint="eastAsia"/>
                <w:szCs w:val="24"/>
              </w:rPr>
              <w:t>深圳市中正招标有限公司</w:t>
            </w:r>
          </w:p>
          <w:p>
            <w:pPr>
              <w:spacing w:line="360" w:lineRule="exact"/>
              <w:rPr>
                <w:rFonts w:ascii="宋体" w:hAnsi="宋体"/>
              </w:rPr>
            </w:pPr>
            <w:r>
              <w:rPr>
                <w:rFonts w:ascii="宋体" w:hAnsi="宋体" w:hint="eastAsia"/>
              </w:rPr>
              <w:t>银行帐号：</w:t>
            </w:r>
            <w:r>
              <w:rPr>
                <w:rFonts w:ascii="宋体" w:hAnsi="宋体" w:hint="eastAsia"/>
                <w:szCs w:val="24"/>
              </w:rPr>
              <w:t>03003729353</w:t>
            </w:r>
          </w:p>
          <w:p>
            <w:pPr>
              <w:spacing w:line="360" w:lineRule="exact"/>
              <w:rPr>
                <w:rFonts w:ascii="宋体" w:hAnsi="宋体"/>
              </w:rPr>
            </w:pPr>
            <w:r>
              <w:rPr>
                <w:rFonts w:ascii="宋体" w:hAnsi="宋体" w:hint="eastAsia"/>
              </w:rPr>
              <w:t>开户银行：</w:t>
            </w:r>
            <w:r>
              <w:rPr>
                <w:rFonts w:ascii="宋体" w:hAnsi="宋体" w:hint="eastAsia"/>
                <w:szCs w:val="24"/>
              </w:rPr>
              <w:t>上海银行深圳天安支行</w:t>
            </w:r>
          </w:p>
        </w:tc>
      </w:tr>
      <w:tr>
        <w:tblPrEx>
          <w:tblW w:w="8367" w:type="dxa"/>
          <w:jc w:val="center"/>
          <w:tblLayout w:type="fixed"/>
          <w:tblCellMar>
            <w:top w:w="0" w:type="dxa"/>
            <w:left w:w="108" w:type="dxa"/>
            <w:bottom w:w="0" w:type="dxa"/>
            <w:right w:w="108" w:type="dxa"/>
          </w:tblCellMar>
        </w:tblPrEx>
        <w:trPr>
          <w:cantSplit/>
          <w:trHeight w:val="20"/>
          <w:jc w:val="center"/>
        </w:trPr>
        <w:tc>
          <w:tcPr>
            <w:tcW w:w="807" w:type="dxa"/>
            <w:vAlign w:val="center"/>
          </w:tcPr>
          <w:p>
            <w:pPr>
              <w:jc w:val="center"/>
              <w:rPr>
                <w:rFonts w:ascii="宋体" w:hAnsi="宋体"/>
                <w:szCs w:val="24"/>
              </w:rPr>
            </w:pPr>
            <w:r>
              <w:rPr>
                <w:rFonts w:ascii="宋体" w:hAnsi="宋体" w:hint="eastAsia"/>
                <w:szCs w:val="24"/>
              </w:rPr>
              <w:t>6</w:t>
            </w:r>
          </w:p>
        </w:tc>
        <w:tc>
          <w:tcPr>
            <w:tcW w:w="2160" w:type="dxa"/>
            <w:vAlign w:val="center"/>
          </w:tcPr>
          <w:p>
            <w:pPr>
              <w:jc w:val="center"/>
              <w:rPr>
                <w:rFonts w:ascii="宋体" w:hAnsi="宋体"/>
                <w:szCs w:val="24"/>
              </w:rPr>
            </w:pPr>
            <w:r>
              <w:rPr>
                <w:rFonts w:ascii="宋体" w:hAnsi="宋体" w:hint="eastAsia"/>
                <w:szCs w:val="24"/>
              </w:rPr>
              <w:t>履约保证金</w:t>
            </w:r>
          </w:p>
        </w:tc>
        <w:tc>
          <w:tcPr>
            <w:tcW w:w="5400" w:type="dxa"/>
            <w:vAlign w:val="center"/>
          </w:tcPr>
          <w:p>
            <w:pPr>
              <w:spacing w:line="360" w:lineRule="exact"/>
              <w:rPr>
                <w:rFonts w:ascii="宋体" w:eastAsia="宋体" w:hAnsi="宋体" w:hint="eastAsia"/>
                <w:lang w:val="en-US" w:eastAsia="zh-CN"/>
              </w:rPr>
            </w:pPr>
            <w:r>
              <w:rPr>
                <w:rFonts w:ascii="宋体" w:hAnsi="宋体" w:hint="eastAsia"/>
                <w:kern w:val="0"/>
                <w:szCs w:val="21"/>
                <w:highlight w:val="none"/>
                <w:lang w:eastAsia="zh-CN"/>
              </w:rPr>
              <w:t>中标人</w:t>
            </w:r>
            <w:r>
              <w:rPr>
                <w:rFonts w:ascii="宋体" w:eastAsia="宋体" w:hAnsi="宋体" w:hint="eastAsia"/>
                <w:kern w:val="0"/>
                <w:szCs w:val="21"/>
                <w:highlight w:val="none"/>
              </w:rPr>
              <w:t>须向</w:t>
            </w:r>
            <w:r>
              <w:rPr>
                <w:rFonts w:ascii="宋体" w:hAnsi="宋体" w:hint="eastAsia"/>
                <w:kern w:val="0"/>
                <w:szCs w:val="21"/>
                <w:highlight w:val="none"/>
                <w:lang w:eastAsia="zh-CN"/>
              </w:rPr>
              <w:t>采购人</w:t>
            </w:r>
            <w:r>
              <w:rPr>
                <w:rFonts w:ascii="宋体" w:eastAsia="宋体" w:hAnsi="宋体" w:hint="eastAsia"/>
                <w:kern w:val="0"/>
                <w:szCs w:val="21"/>
              </w:rPr>
              <w:t>提供项目合同金额的</w:t>
            </w:r>
            <w:r>
              <w:rPr>
                <w:rFonts w:ascii="宋体" w:hAnsi="宋体" w:hint="eastAsia"/>
                <w:kern w:val="0"/>
                <w:szCs w:val="21"/>
                <w:u w:val="single"/>
                <w:lang w:val="en-US" w:eastAsia="zh-CN"/>
              </w:rPr>
              <w:t xml:space="preserve"> 10 </w:t>
            </w:r>
            <w:r>
              <w:rPr>
                <w:rFonts w:ascii="宋体" w:eastAsia="宋体" w:hAnsi="宋体" w:hint="eastAsia"/>
                <w:kern w:val="0"/>
                <w:szCs w:val="21"/>
              </w:rPr>
              <w:t>%作为本服务项目的履约保函</w:t>
            </w:r>
          </w:p>
        </w:tc>
      </w:tr>
    </w:tbl>
    <w:p>
      <w:pPr>
        <w:rPr>
          <w:rFonts w:ascii="Times New Roman" w:hAnsi="Times New Roman"/>
          <w:b/>
          <w:szCs w:val="24"/>
        </w:rPr>
      </w:pPr>
      <w:r>
        <w:rPr>
          <w:rFonts w:ascii="Times New Roman" w:hAnsi="Times New Roman" w:hint="eastAsia"/>
          <w:szCs w:val="21"/>
        </w:rPr>
        <w:t xml:space="preserve">    备注：本表为通用条款相关内容的补充和明确，如与通用条款相冲突的以本表为准。</w:t>
      </w:r>
    </w:p>
    <w:p>
      <w:pPr>
        <w:rPr>
          <w:rFonts w:ascii="Times New Roman" w:hAnsi="Times New Roman"/>
          <w:b/>
          <w:szCs w:val="24"/>
        </w:rPr>
      </w:pPr>
    </w:p>
    <w:p>
      <w:pPr>
        <w:pStyle w:val="Heading2"/>
        <w:keepNext w:val="0"/>
        <w:keepLines w:val="0"/>
        <w:pageBreakBefore w:val="0"/>
        <w:widowControl w:val="0"/>
        <w:kinsoku/>
        <w:wordWrap/>
        <w:overflowPunct/>
        <w:topLinePunct w:val="0"/>
        <w:autoSpaceDE/>
        <w:autoSpaceDN/>
        <w:bidi w:val="0"/>
        <w:adjustRightInd w:val="0"/>
        <w:snapToGrid/>
        <w:spacing w:before="156" w:beforeLines="50" w:after="156" w:afterLines="50"/>
        <w:textAlignment w:val="baseline"/>
      </w:pPr>
      <w:bookmarkStart w:id="11" w:name="_Toc128884461"/>
      <w:r>
        <w:rPr>
          <w:rFonts w:hint="eastAsia"/>
          <w:b/>
          <w:bCs/>
          <w:sz w:val="28"/>
          <w:szCs w:val="28"/>
        </w:rPr>
        <w:t>二、实质性条款</w:t>
      </w:r>
    </w:p>
    <w:tbl>
      <w:tblPr>
        <w:tblStyle w:val="TableNormal"/>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05"/>
        <w:gridCol w:w="7658"/>
      </w:tblGrid>
      <w:tr>
        <w:tblPrEx>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eastAsia="宋体" w:hAnsi="宋体" w:cs="宋体" w:hint="eastAsia"/>
                <w:kern w:val="0"/>
                <w:sz w:val="21"/>
                <w:szCs w:val="21"/>
              </w:rPr>
            </w:pPr>
            <w:r>
              <w:rPr>
                <w:rFonts w:ascii="宋体" w:eastAsia="宋体" w:hAnsi="宋体" w:cs="宋体" w:hint="eastAsia"/>
                <w:kern w:val="0"/>
                <w:sz w:val="21"/>
                <w:szCs w:val="21"/>
              </w:rPr>
              <w:t>序号</w:t>
            </w:r>
          </w:p>
        </w:tc>
        <w:tc>
          <w:tcPr>
            <w:tcW w:w="7658" w:type="dxa"/>
            <w:vAlign w:val="center"/>
          </w:tcPr>
          <w:p>
            <w:pPr>
              <w:adjustRightInd w:val="0"/>
              <w:snapToGrid w:val="0"/>
              <w:spacing w:line="360" w:lineRule="auto"/>
              <w:jc w:val="center"/>
              <w:rPr>
                <w:rFonts w:ascii="宋体" w:eastAsia="宋体" w:hAnsi="宋体" w:cs="宋体" w:hint="eastAsia"/>
                <w:kern w:val="0"/>
                <w:sz w:val="21"/>
                <w:szCs w:val="21"/>
              </w:rPr>
            </w:pPr>
            <w:r>
              <w:rPr>
                <w:rFonts w:ascii="宋体" w:eastAsia="宋体" w:hAnsi="宋体" w:cs="宋体" w:hint="eastAsia"/>
                <w:kern w:val="0"/>
                <w:sz w:val="21"/>
                <w:szCs w:val="21"/>
              </w:rPr>
              <w:t>具体内容</w:t>
            </w:r>
          </w:p>
        </w:tc>
      </w:tr>
      <w:tr>
        <w:tblPrEx>
          <w:tblW w:w="8363" w:type="dxa"/>
          <w:tblInd w:w="392" w:type="dxa"/>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eastAsia="宋体" w:hAnsi="宋体" w:cs="宋体" w:hint="eastAsia"/>
                <w:kern w:val="0"/>
                <w:sz w:val="21"/>
                <w:szCs w:val="21"/>
              </w:rPr>
            </w:pPr>
            <w:r>
              <w:rPr>
                <w:rFonts w:ascii="宋体" w:eastAsia="宋体" w:hAnsi="宋体" w:cs="宋体" w:hint="eastAsia"/>
                <w:kern w:val="0"/>
                <w:sz w:val="21"/>
                <w:szCs w:val="21"/>
              </w:rPr>
              <w:t>1</w:t>
            </w:r>
          </w:p>
        </w:tc>
        <w:tc>
          <w:tcPr>
            <w:tcW w:w="7658" w:type="dxa"/>
            <w:vAlign w:val="center"/>
          </w:tcPr>
          <w:p>
            <w:pPr>
              <w:adjustRightInd w:val="0"/>
              <w:snapToGrid w:val="0"/>
              <w:spacing w:line="360" w:lineRule="auto"/>
              <w:jc w:val="left"/>
              <w:rPr>
                <w:rFonts w:ascii="宋体" w:eastAsia="宋体" w:hAnsi="宋体" w:cs="宋体" w:hint="eastAsia"/>
                <w:kern w:val="0"/>
                <w:sz w:val="21"/>
                <w:szCs w:val="21"/>
                <w:lang w:eastAsia="zh-CN"/>
              </w:rPr>
            </w:pPr>
            <w:r>
              <w:rPr>
                <w:rFonts w:ascii="宋体" w:eastAsia="宋体" w:hAnsi="宋体" w:cs="宋体" w:hint="eastAsia"/>
                <w:kern w:val="0"/>
                <w:sz w:val="21"/>
                <w:szCs w:val="21"/>
                <w:lang w:eastAsia="zh-CN"/>
              </w:rPr>
              <w:t>项目</w:t>
            </w:r>
            <w:r>
              <w:rPr>
                <w:rFonts w:ascii="宋体" w:eastAsia="宋体" w:hAnsi="宋体" w:cs="宋体" w:hint="eastAsia"/>
                <w:kern w:val="0"/>
                <w:sz w:val="21"/>
                <w:szCs w:val="21"/>
                <w:lang w:val="en-US" w:eastAsia="zh-CN"/>
              </w:rPr>
              <w:t>经理</w:t>
            </w:r>
            <w:r>
              <w:rPr>
                <w:rFonts w:ascii="宋体" w:eastAsia="宋体" w:hAnsi="宋体" w:cs="宋体" w:hint="eastAsia"/>
                <w:kern w:val="0"/>
                <w:sz w:val="21"/>
                <w:szCs w:val="21"/>
                <w:lang w:eastAsia="zh-CN"/>
              </w:rPr>
              <w:t>所负责</w:t>
            </w:r>
            <w:r>
              <w:rPr>
                <w:rFonts w:ascii="宋体" w:eastAsia="宋体" w:hAnsi="宋体" w:cs="宋体" w:hint="eastAsia"/>
                <w:kern w:val="0"/>
                <w:sz w:val="21"/>
                <w:szCs w:val="21"/>
                <w:lang w:val="en-US" w:eastAsia="zh-CN"/>
              </w:rPr>
              <w:t>的</w:t>
            </w:r>
            <w:r>
              <w:rPr>
                <w:rFonts w:ascii="宋体" w:eastAsia="宋体" w:hAnsi="宋体" w:cs="宋体" w:hint="eastAsia"/>
                <w:kern w:val="0"/>
                <w:sz w:val="21"/>
                <w:szCs w:val="21"/>
                <w:lang w:eastAsia="zh-CN"/>
              </w:rPr>
              <w:t>项目数量不得超过两个（含本项目）。</w:t>
            </w:r>
          </w:p>
        </w:tc>
      </w:tr>
      <w:tr>
        <w:tblPrEx>
          <w:tblW w:w="8363" w:type="dxa"/>
          <w:tblInd w:w="392" w:type="dxa"/>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eastAsia="宋体" w:hAnsi="宋体" w:cs="宋体" w:hint="eastAsia"/>
                <w:kern w:val="0"/>
                <w:sz w:val="21"/>
                <w:szCs w:val="21"/>
                <w:lang w:val="en-US" w:eastAsia="zh-CN"/>
              </w:rPr>
            </w:pPr>
            <w:r>
              <w:rPr>
                <w:rFonts w:ascii="宋体" w:eastAsia="宋体" w:hAnsi="宋体" w:cs="宋体" w:hint="eastAsia"/>
                <w:kern w:val="0"/>
                <w:sz w:val="21"/>
                <w:szCs w:val="21"/>
                <w:lang w:val="en-US" w:eastAsia="zh-CN"/>
              </w:rPr>
              <w:t>2</w:t>
            </w:r>
          </w:p>
        </w:tc>
        <w:tc>
          <w:tcPr>
            <w:tcW w:w="7658" w:type="dxa"/>
            <w:vAlign w:val="center"/>
          </w:tcPr>
          <w:p>
            <w:pPr>
              <w:adjustRightInd w:val="0"/>
              <w:snapToGrid w:val="0"/>
              <w:spacing w:line="360" w:lineRule="auto"/>
              <w:jc w:val="left"/>
              <w:rPr>
                <w:rFonts w:ascii="宋体" w:eastAsia="宋体" w:hAnsi="宋体" w:cs="宋体" w:hint="eastAsia"/>
                <w:kern w:val="0"/>
                <w:sz w:val="21"/>
                <w:szCs w:val="21"/>
              </w:rPr>
            </w:pPr>
            <w:r>
              <w:rPr>
                <w:rFonts w:ascii="宋体" w:eastAsia="宋体" w:hAnsi="宋体" w:cs="宋体" w:hint="eastAsia"/>
                <w:kern w:val="0"/>
                <w:sz w:val="21"/>
                <w:szCs w:val="21"/>
                <w:lang w:eastAsia="zh-CN"/>
              </w:rPr>
              <w:t>投标人需承诺在中标通知书发出后3天内组织项目维护团队人员进场开始交接工作（需提供《项目过渡期交接承诺函》作为响应依据，格式自拟，未提供承诺或承诺内容不满足要求的视为负偏离，按投标无效处理）。</w:t>
            </w:r>
          </w:p>
        </w:tc>
      </w:tr>
      <w:tr>
        <w:tblPrEx>
          <w:tblW w:w="8363" w:type="dxa"/>
          <w:tblInd w:w="392" w:type="dxa"/>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eastAsia="宋体" w:hAnsi="宋体" w:cs="宋体" w:hint="eastAsia"/>
                <w:kern w:val="0"/>
                <w:sz w:val="21"/>
                <w:szCs w:val="21"/>
                <w:lang w:val="en-US" w:eastAsia="zh-CN"/>
              </w:rPr>
            </w:pPr>
            <w:r>
              <w:rPr>
                <w:rFonts w:ascii="宋体" w:eastAsia="宋体" w:hAnsi="宋体" w:cs="宋体" w:hint="eastAsia"/>
                <w:kern w:val="0"/>
                <w:sz w:val="21"/>
                <w:szCs w:val="21"/>
                <w:lang w:val="en-US" w:eastAsia="zh-CN"/>
              </w:rPr>
              <w:t>3</w:t>
            </w:r>
          </w:p>
        </w:tc>
        <w:tc>
          <w:tcPr>
            <w:tcW w:w="7658" w:type="dxa"/>
            <w:vAlign w:val="center"/>
          </w:tcPr>
          <w:p>
            <w:pPr>
              <w:adjustRightInd w:val="0"/>
              <w:snapToGrid w:val="0"/>
              <w:spacing w:line="360" w:lineRule="auto"/>
              <w:jc w:val="left"/>
              <w:rPr>
                <w:rFonts w:ascii="宋体" w:eastAsia="宋体" w:hAnsi="宋体" w:cs="宋体" w:hint="eastAsia"/>
                <w:kern w:val="0"/>
                <w:sz w:val="21"/>
                <w:szCs w:val="21"/>
              </w:rPr>
            </w:pPr>
            <w:r>
              <w:rPr>
                <w:rFonts w:ascii="宋体" w:eastAsia="宋体" w:hAnsi="宋体" w:cs="宋体" w:hint="eastAsia"/>
                <w:kern w:val="0"/>
                <w:sz w:val="21"/>
                <w:szCs w:val="21"/>
              </w:rPr>
              <w:t>中标人需购买安全责任险中的第三者和施救费保险，保额需求：</w:t>
            </w:r>
          </w:p>
          <w:p>
            <w:pPr>
              <w:adjustRightInd w:val="0"/>
              <w:snapToGrid w:val="0"/>
              <w:spacing w:line="360" w:lineRule="auto"/>
              <w:jc w:val="left"/>
              <w:rPr>
                <w:rFonts w:ascii="宋体" w:eastAsia="宋体" w:hAnsi="宋体" w:cs="宋体" w:hint="eastAsia"/>
                <w:kern w:val="0"/>
                <w:sz w:val="21"/>
                <w:szCs w:val="21"/>
              </w:rPr>
            </w:pPr>
            <w:r>
              <w:rPr>
                <w:rFonts w:ascii="宋体" w:eastAsia="宋体" w:hAnsi="宋体" w:cs="宋体" w:hint="eastAsia"/>
                <w:kern w:val="0"/>
                <w:sz w:val="21"/>
                <w:szCs w:val="21"/>
              </w:rPr>
              <w:t>1）年累计赔偿限额5000万元；2）其中每次事故累计赔偿限额1000万元，每次事故每人赔偿限额200万元，每次事故财产损失赔偿限额200万元。</w:t>
            </w:r>
          </w:p>
          <w:p>
            <w:pPr>
              <w:adjustRightInd w:val="0"/>
              <w:snapToGrid w:val="0"/>
              <w:spacing w:line="360" w:lineRule="auto"/>
              <w:jc w:val="left"/>
              <w:rPr>
                <w:rFonts w:ascii="宋体" w:eastAsia="宋体" w:hAnsi="宋体" w:cs="宋体" w:hint="eastAsia"/>
                <w:kern w:val="0"/>
                <w:sz w:val="21"/>
                <w:szCs w:val="21"/>
              </w:rPr>
            </w:pPr>
            <w:r>
              <w:rPr>
                <w:rFonts w:ascii="宋体" w:eastAsia="宋体" w:hAnsi="宋体" w:cs="宋体" w:hint="eastAsia"/>
                <w:kern w:val="0"/>
                <w:sz w:val="21"/>
                <w:szCs w:val="21"/>
              </w:rPr>
              <w:t>要求中标人需在中标后二十个工作日提供保单和发票复印件给采购人，作为第一笔款的付款依据，保单期限内不得退保。</w:t>
            </w:r>
          </w:p>
        </w:tc>
      </w:tr>
      <w:tr>
        <w:tblPrEx>
          <w:tblW w:w="8363" w:type="dxa"/>
          <w:tblInd w:w="392" w:type="dxa"/>
          <w:tblLayout w:type="fixed"/>
          <w:tblCellMar>
            <w:top w:w="0" w:type="dxa"/>
            <w:left w:w="108" w:type="dxa"/>
            <w:bottom w:w="0" w:type="dxa"/>
            <w:right w:w="108" w:type="dxa"/>
          </w:tblCellMar>
        </w:tblPrEx>
        <w:trPr>
          <w:trHeight w:val="90"/>
        </w:trPr>
        <w:tc>
          <w:tcPr>
            <w:tcW w:w="705" w:type="dxa"/>
            <w:vAlign w:val="center"/>
          </w:tcPr>
          <w:p>
            <w:pPr>
              <w:adjustRightInd w:val="0"/>
              <w:snapToGrid w:val="0"/>
              <w:spacing w:line="360" w:lineRule="auto"/>
              <w:jc w:val="center"/>
              <w:rPr>
                <w:rFonts w:ascii="宋体" w:eastAsia="宋体" w:hAnsi="宋体" w:cs="宋体" w:hint="eastAsia"/>
                <w:kern w:val="0"/>
                <w:sz w:val="21"/>
                <w:szCs w:val="21"/>
                <w:lang w:val="en-US" w:eastAsia="zh-CN"/>
              </w:rPr>
            </w:pPr>
            <w:r>
              <w:rPr>
                <w:rFonts w:ascii="宋体" w:eastAsia="宋体" w:hAnsi="宋体" w:cs="宋体" w:hint="eastAsia"/>
                <w:kern w:val="0"/>
                <w:sz w:val="21"/>
                <w:szCs w:val="21"/>
                <w:lang w:val="en-US" w:eastAsia="zh-CN"/>
              </w:rPr>
              <w:t>4</w:t>
            </w:r>
          </w:p>
        </w:tc>
        <w:tc>
          <w:tcPr>
            <w:tcW w:w="7658" w:type="dxa"/>
            <w:vAlign w:val="center"/>
          </w:tcPr>
          <w:p>
            <w:pPr>
              <w:adjustRightInd w:val="0"/>
              <w:snapToGrid w:val="0"/>
              <w:spacing w:line="360" w:lineRule="auto"/>
              <w:jc w:val="left"/>
              <w:rPr>
                <w:rFonts w:hint="eastAsia"/>
              </w:rPr>
            </w:pPr>
            <w:r>
              <w:rPr>
                <w:rFonts w:hint="eastAsia"/>
              </w:rPr>
              <w:t>服务期限</w:t>
            </w:r>
          </w:p>
          <w:p>
            <w:pPr>
              <w:adjustRightInd w:val="0"/>
              <w:snapToGrid w:val="0"/>
              <w:spacing w:line="360" w:lineRule="auto"/>
              <w:jc w:val="left"/>
              <w:rPr>
                <w:rFonts w:hint="eastAsia"/>
              </w:rPr>
            </w:pPr>
            <w:r>
              <w:rPr>
                <w:rFonts w:hint="eastAsia"/>
                <w:lang w:val="en-US" w:eastAsia="zh-CN"/>
              </w:rPr>
              <w:t>一个完整自然年</w:t>
            </w:r>
            <w:r>
              <w:rPr>
                <w:rFonts w:ascii="宋体" w:eastAsia="宋体" w:hAnsi="宋体" w:cs="宋体" w:hint="eastAsia"/>
              </w:rPr>
              <w:t>，自2024年1月1日至202</w:t>
            </w:r>
            <w:r>
              <w:rPr>
                <w:rFonts w:ascii="宋体" w:eastAsia="宋体" w:hAnsi="宋体" w:cs="宋体" w:hint="eastAsia"/>
                <w:lang w:val="en-US" w:eastAsia="zh-CN"/>
              </w:rPr>
              <w:t>4</w:t>
            </w:r>
            <w:r>
              <w:rPr>
                <w:rFonts w:ascii="宋体" w:eastAsia="宋体" w:hAnsi="宋体" w:cs="宋体" w:hint="eastAsia"/>
              </w:rPr>
              <w:t>年12月31日。</w:t>
            </w:r>
            <w:r>
              <w:rPr>
                <w:rFonts w:ascii="宋体" w:eastAsia="宋体" w:hAnsi="宋体" w:cs="宋体" w:hint="eastAsia"/>
                <w:lang w:val="en-US" w:eastAsia="zh-CN"/>
              </w:rPr>
              <w:t>本项目为长期服务项目，合同期满可以续签，但合同履行期限最长不得</w:t>
            </w:r>
            <w:r>
              <w:rPr>
                <w:rFonts w:hint="eastAsia"/>
                <w:lang w:val="en-US" w:eastAsia="zh-CN"/>
              </w:rPr>
              <w:t>超过三十六个月。如采购方对履约情况不满意，则不再续签。</w:t>
            </w:r>
          </w:p>
        </w:tc>
      </w:tr>
      <w:tr>
        <w:tblPrEx>
          <w:tblW w:w="8363" w:type="dxa"/>
          <w:tblInd w:w="392" w:type="dxa"/>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eastAsia="宋体" w:hAnsi="宋体" w:cs="宋体" w:hint="eastAsia"/>
                <w:kern w:val="0"/>
                <w:sz w:val="21"/>
                <w:szCs w:val="21"/>
                <w:lang w:val="en-US" w:eastAsia="zh-CN"/>
              </w:rPr>
            </w:pPr>
            <w:r>
              <w:rPr>
                <w:rFonts w:ascii="宋体" w:eastAsia="宋体" w:hAnsi="宋体" w:cs="宋体" w:hint="eastAsia"/>
                <w:kern w:val="0"/>
                <w:sz w:val="21"/>
                <w:szCs w:val="21"/>
                <w:lang w:val="en-US" w:eastAsia="zh-CN"/>
              </w:rPr>
              <w:t>5</w:t>
            </w:r>
          </w:p>
        </w:tc>
        <w:tc>
          <w:tcPr>
            <w:tcW w:w="7658" w:type="dxa"/>
            <w:vAlign w:val="center"/>
          </w:tcPr>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付款方式</w:t>
            </w:r>
          </w:p>
          <w:p>
            <w:pPr>
              <w:adjustRightInd w:val="0"/>
              <w:snapToGrid w:val="0"/>
              <w:spacing w:line="360" w:lineRule="auto"/>
              <w:jc w:val="left"/>
              <w:rPr>
                <w:rFonts w:ascii="宋体" w:eastAsia="宋体" w:hAnsi="宋体" w:cs="宋体" w:hint="eastAsia"/>
                <w:sz w:val="21"/>
                <w:szCs w:val="21"/>
                <w:lang w:val="en-US" w:eastAsia="zh-CN"/>
              </w:rPr>
            </w:pPr>
            <w:r>
              <w:rPr>
                <w:rFonts w:ascii="宋体" w:eastAsia="宋体" w:hAnsi="宋体" w:cs="宋体" w:hint="eastAsia"/>
                <w:sz w:val="21"/>
                <w:szCs w:val="21"/>
              </w:rPr>
              <w:t>1.签订施工合同并经备案通过，同时中标人办理合同总价的</w:t>
            </w:r>
            <w:r>
              <w:rPr>
                <w:rFonts w:ascii="宋体" w:eastAsia="宋体" w:hAnsi="宋体" w:cs="宋体" w:hint="eastAsia"/>
                <w:sz w:val="21"/>
                <w:szCs w:val="21"/>
                <w:lang w:val="en-US" w:eastAsia="zh-CN"/>
              </w:rPr>
              <w:t>1</w:t>
            </w:r>
            <w:r>
              <w:rPr>
                <w:rFonts w:ascii="宋体" w:eastAsia="宋体" w:hAnsi="宋体" w:cs="宋体" w:hint="eastAsia"/>
                <w:sz w:val="21"/>
                <w:szCs w:val="21"/>
              </w:rPr>
              <w:t>0%的履约保函后，采购人支付合同总价的</w:t>
            </w:r>
            <w:r>
              <w:rPr>
                <w:rFonts w:ascii="宋体" w:eastAsia="宋体" w:hAnsi="宋体" w:cs="宋体" w:hint="eastAsia"/>
                <w:sz w:val="21"/>
                <w:szCs w:val="21"/>
                <w:lang w:val="en-US" w:eastAsia="zh-CN"/>
              </w:rPr>
              <w:t>25</w:t>
            </w:r>
            <w:r>
              <w:rPr>
                <w:rFonts w:ascii="宋体" w:eastAsia="宋体" w:hAnsi="宋体" w:cs="宋体" w:hint="eastAsia"/>
                <w:sz w:val="21"/>
                <w:szCs w:val="21"/>
              </w:rPr>
              <w:t>%作为预付款。</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2.</w:t>
            </w:r>
            <w:r>
              <w:rPr>
                <w:rFonts w:ascii="宋体" w:eastAsia="宋体" w:hAnsi="宋体" w:cs="宋体" w:hint="eastAsia"/>
                <w:sz w:val="21"/>
                <w:szCs w:val="21"/>
                <w:lang w:val="en-US" w:eastAsia="zh-CN"/>
              </w:rPr>
              <w:t>固定</w:t>
            </w:r>
            <w:r>
              <w:rPr>
                <w:rFonts w:ascii="宋体" w:eastAsia="宋体" w:hAnsi="宋体" w:cs="宋体" w:hint="eastAsia"/>
                <w:sz w:val="21"/>
                <w:szCs w:val="21"/>
              </w:rPr>
              <w:t>费用每月按照中标人投标报价除以12个月支付；</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3.维护费用每月按申报工程量审核结算一次，按结算金额在当月支付；</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4.维护费用结算方式：</w:t>
            </w:r>
          </w:p>
          <w:p>
            <w:pPr>
              <w:adjustRightInd w:val="0"/>
              <w:snapToGrid w:val="0"/>
              <w:spacing w:line="360" w:lineRule="auto"/>
              <w:jc w:val="left"/>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（1）更换工程量为当月实际发生工程量；</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w:t>
            </w:r>
            <w:r>
              <w:rPr>
                <w:rFonts w:ascii="宋体" w:eastAsia="宋体" w:hAnsi="宋体" w:cs="宋体" w:hint="eastAsia"/>
                <w:sz w:val="21"/>
                <w:szCs w:val="21"/>
                <w:lang w:val="en-US" w:eastAsia="zh-CN"/>
              </w:rPr>
              <w:t>2</w:t>
            </w:r>
            <w:r>
              <w:rPr>
                <w:rFonts w:ascii="宋体" w:eastAsia="宋体" w:hAnsi="宋体" w:cs="宋体" w:hint="eastAsia"/>
                <w:sz w:val="21"/>
                <w:szCs w:val="21"/>
              </w:rPr>
              <w:t>）</w:t>
            </w:r>
            <w:r>
              <w:rPr>
                <w:rFonts w:ascii="宋体" w:eastAsia="宋体" w:hAnsi="宋体" w:cs="宋体" w:hint="eastAsia"/>
                <w:sz w:val="21"/>
                <w:szCs w:val="21"/>
                <w:lang w:val="en-US" w:eastAsia="zh-CN"/>
              </w:rPr>
              <w:t>材料单价</w:t>
            </w:r>
            <w:r>
              <w:rPr>
                <w:rFonts w:ascii="宋体" w:eastAsia="宋体" w:hAnsi="宋体" w:cs="宋体" w:hint="eastAsia"/>
                <w:sz w:val="21"/>
                <w:szCs w:val="21"/>
              </w:rPr>
              <w:t>按项目实施当月《深圳建设工程价格信息》信息价计算出基准价（若当月《深圳建设工程价格信息》无相应材料设备、人工价格标准的，则通过市场询价（第三方造价咨询公司询价）或相关案例确定）。然后用</w:t>
            </w:r>
            <w:r>
              <w:rPr>
                <w:rFonts w:ascii="宋体" w:eastAsia="宋体" w:hAnsi="宋体" w:cs="宋体" w:hint="eastAsia"/>
                <w:sz w:val="21"/>
                <w:szCs w:val="21"/>
                <w:lang w:eastAsia="zh-CN"/>
              </w:rPr>
              <w:t>材料单价</w:t>
            </w:r>
            <w:r>
              <w:rPr>
                <w:rFonts w:ascii="宋体" w:eastAsia="宋体" w:hAnsi="宋体" w:cs="宋体" w:hint="eastAsia"/>
                <w:sz w:val="21"/>
                <w:szCs w:val="21"/>
              </w:rPr>
              <w:t>×（1-维护费用下浮率）计算出该项</w:t>
            </w:r>
            <w:r>
              <w:rPr>
                <w:rFonts w:ascii="宋体" w:eastAsia="宋体" w:hAnsi="宋体" w:cs="宋体" w:hint="eastAsia"/>
                <w:sz w:val="21"/>
                <w:szCs w:val="21"/>
                <w:lang w:val="en-US" w:eastAsia="zh-CN"/>
              </w:rPr>
              <w:t>材料</w:t>
            </w:r>
            <w:r>
              <w:rPr>
                <w:rFonts w:ascii="宋体" w:eastAsia="宋体" w:hAnsi="宋体" w:cs="宋体" w:hint="eastAsia"/>
                <w:sz w:val="21"/>
                <w:szCs w:val="21"/>
              </w:rPr>
              <w:t>价，最终费用以采购人聘请的第三方造价咨询公司审计价为准；</w:t>
            </w:r>
          </w:p>
          <w:p>
            <w:pPr>
              <w:adjustRightInd w:val="0"/>
              <w:snapToGrid w:val="0"/>
              <w:spacing w:line="360" w:lineRule="auto"/>
              <w:jc w:val="left"/>
              <w:rPr>
                <w:rFonts w:ascii="宋体" w:eastAsia="宋体" w:hAnsi="宋体" w:cs="宋体" w:hint="eastAsia"/>
                <w:sz w:val="21"/>
                <w:szCs w:val="21"/>
                <w:lang w:val="en-US" w:eastAsia="zh-CN"/>
              </w:rPr>
            </w:pPr>
            <w:r>
              <w:rPr>
                <w:rFonts w:ascii="宋体" w:eastAsia="宋体" w:hAnsi="宋体" w:cs="宋体" w:hint="eastAsia"/>
                <w:sz w:val="21"/>
                <w:szCs w:val="21"/>
              </w:rPr>
              <w:t>（</w:t>
            </w:r>
            <w:r>
              <w:rPr>
                <w:rFonts w:ascii="宋体" w:eastAsia="宋体" w:hAnsi="宋体" w:cs="宋体" w:hint="eastAsia"/>
                <w:sz w:val="21"/>
                <w:szCs w:val="21"/>
                <w:lang w:val="en-US" w:eastAsia="zh-CN"/>
              </w:rPr>
              <w:t>3</w:t>
            </w:r>
            <w:r>
              <w:rPr>
                <w:rFonts w:ascii="宋体" w:eastAsia="宋体" w:hAnsi="宋体" w:cs="宋体" w:hint="eastAsia"/>
                <w:sz w:val="21"/>
                <w:szCs w:val="21"/>
              </w:rPr>
              <w:t>）</w:t>
            </w:r>
            <w:r>
              <w:rPr>
                <w:rFonts w:ascii="宋体" w:eastAsia="宋体" w:hAnsi="宋体" w:cs="宋体" w:hint="eastAsia"/>
                <w:sz w:val="21"/>
                <w:szCs w:val="21"/>
                <w:lang w:eastAsia="zh-CN"/>
              </w:rPr>
              <w:t>然后</w:t>
            </w:r>
            <w:r>
              <w:rPr>
                <w:rFonts w:ascii="宋体" w:eastAsia="宋体" w:hAnsi="宋体" w:cs="宋体" w:hint="eastAsia"/>
                <w:sz w:val="21"/>
                <w:szCs w:val="21"/>
              </w:rPr>
              <w:t>根据工程量*</w:t>
            </w:r>
            <w:r>
              <w:rPr>
                <w:rFonts w:ascii="宋体" w:eastAsia="宋体" w:hAnsi="宋体" w:cs="宋体" w:hint="eastAsia"/>
                <w:sz w:val="21"/>
                <w:szCs w:val="21"/>
                <w:lang w:eastAsia="zh-CN"/>
              </w:rPr>
              <w:t>材料</w:t>
            </w:r>
            <w:r>
              <w:rPr>
                <w:rFonts w:ascii="宋体" w:eastAsia="宋体" w:hAnsi="宋体" w:cs="宋体" w:hint="eastAsia"/>
                <w:sz w:val="21"/>
                <w:szCs w:val="21"/>
              </w:rPr>
              <w:t>价计算维护费用，最终费用以采购方聘请的第三方造价咨询公司审计价为准</w:t>
            </w:r>
            <w:r>
              <w:rPr>
                <w:rFonts w:ascii="宋体" w:eastAsia="宋体" w:hAnsi="宋体" w:cs="宋体" w:hint="eastAsia"/>
                <w:sz w:val="21"/>
                <w:szCs w:val="21"/>
                <w:lang w:eastAsia="zh-CN"/>
              </w:rPr>
              <w:t>。</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5.维护费用下浮率=（</w:t>
            </w:r>
            <w:r>
              <w:rPr>
                <w:rFonts w:ascii="宋体" w:eastAsia="宋体" w:hAnsi="宋体" w:cs="宋体" w:hint="eastAsia"/>
                <w:sz w:val="21"/>
                <w:szCs w:val="21"/>
                <w:lang w:val="en-US" w:eastAsia="zh-CN"/>
              </w:rPr>
              <w:t>550</w:t>
            </w:r>
            <w:r>
              <w:rPr>
                <w:rFonts w:ascii="宋体" w:eastAsia="宋体" w:hAnsi="宋体" w:cs="宋体" w:hint="eastAsia"/>
                <w:sz w:val="21"/>
                <w:szCs w:val="21"/>
              </w:rPr>
              <w:t>0000-中标人维护费用报价）/</w:t>
            </w:r>
            <w:r>
              <w:rPr>
                <w:rFonts w:ascii="宋体" w:eastAsia="宋体" w:hAnsi="宋体" w:cs="宋体" w:hint="eastAsia"/>
                <w:sz w:val="21"/>
                <w:szCs w:val="21"/>
                <w:lang w:val="en-US" w:eastAsia="zh-CN"/>
              </w:rPr>
              <w:t>55</w:t>
            </w:r>
            <w:r>
              <w:rPr>
                <w:rFonts w:ascii="宋体" w:eastAsia="宋体" w:hAnsi="宋体" w:cs="宋体" w:hint="eastAsia"/>
                <w:sz w:val="21"/>
                <w:szCs w:val="21"/>
              </w:rPr>
              <w:t>00000*100%。</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6.每</w:t>
            </w:r>
            <w:r>
              <w:rPr>
                <w:rFonts w:ascii="宋体" w:eastAsia="宋体" w:hAnsi="宋体" w:cs="宋体" w:hint="eastAsia"/>
                <w:sz w:val="21"/>
                <w:szCs w:val="21"/>
                <w:lang w:val="en-US" w:eastAsia="zh-CN"/>
              </w:rPr>
              <w:t>月</w:t>
            </w:r>
            <w:r>
              <w:rPr>
                <w:rFonts w:ascii="宋体" w:eastAsia="宋体" w:hAnsi="宋体" w:cs="宋体" w:hint="eastAsia"/>
                <w:sz w:val="21"/>
                <w:szCs w:val="21"/>
              </w:rPr>
              <w:t>维护费用为</w:t>
            </w:r>
            <w:r>
              <w:rPr>
                <w:rFonts w:ascii="宋体" w:eastAsia="宋体" w:hAnsi="宋体" w:cs="宋体" w:hint="eastAsia"/>
                <w:sz w:val="21"/>
                <w:szCs w:val="21"/>
                <w:lang w:val="en-US" w:eastAsia="zh-CN"/>
              </w:rPr>
              <w:t>固定费用与维护费用</w:t>
            </w:r>
            <w:r>
              <w:rPr>
                <w:rFonts w:ascii="宋体" w:eastAsia="宋体" w:hAnsi="宋体" w:cs="宋体" w:hint="eastAsia"/>
                <w:sz w:val="21"/>
                <w:szCs w:val="21"/>
              </w:rPr>
              <w:t>之和减去</w:t>
            </w:r>
            <w:r>
              <w:rPr>
                <w:rFonts w:ascii="宋体" w:eastAsia="宋体" w:hAnsi="宋体" w:cs="宋体" w:hint="eastAsia"/>
                <w:sz w:val="21"/>
                <w:szCs w:val="21"/>
                <w:lang w:val="en-US" w:eastAsia="zh-CN"/>
              </w:rPr>
              <w:t>月</w:t>
            </w:r>
            <w:r>
              <w:rPr>
                <w:rFonts w:ascii="宋体" w:eastAsia="宋体" w:hAnsi="宋体" w:cs="宋体" w:hint="eastAsia"/>
                <w:sz w:val="21"/>
                <w:szCs w:val="21"/>
              </w:rPr>
              <w:t>维护考核扣除部分。</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7.若中标人每次上报的维护材料送审价经采购方聘请的造价咨询公司审核后核减率≥10%，则采购方将按10000元/次进行处罚，处罚金额从下月维护费用中扣除。</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8.</w:t>
            </w:r>
            <w:r>
              <w:rPr>
                <w:rFonts w:ascii="宋体" w:eastAsia="宋体" w:hAnsi="宋体" w:cs="宋体" w:hint="eastAsia"/>
                <w:sz w:val="21"/>
                <w:szCs w:val="21"/>
                <w:lang w:val="en-US" w:eastAsia="zh-CN"/>
              </w:rPr>
              <w:t>维护费用每半年报送</w:t>
            </w:r>
            <w:r>
              <w:rPr>
                <w:rFonts w:ascii="宋体" w:eastAsia="宋体" w:hAnsi="宋体" w:cs="宋体" w:hint="eastAsia"/>
                <w:sz w:val="21"/>
                <w:szCs w:val="21"/>
              </w:rPr>
              <w:t>采购方上级主管部门深圳市城市管理和综合执法局</w:t>
            </w:r>
            <w:r>
              <w:rPr>
                <w:rFonts w:ascii="宋体" w:eastAsia="宋体" w:hAnsi="宋体" w:cs="宋体" w:hint="eastAsia"/>
                <w:sz w:val="21"/>
                <w:szCs w:val="21"/>
                <w:lang w:val="en-US" w:eastAsia="zh-CN"/>
              </w:rPr>
              <w:t>进行</w:t>
            </w:r>
            <w:r>
              <w:rPr>
                <w:rFonts w:ascii="宋体" w:eastAsia="宋体" w:hAnsi="宋体" w:cs="宋体" w:hint="eastAsia"/>
                <w:sz w:val="21"/>
                <w:szCs w:val="21"/>
              </w:rPr>
              <w:t>审计，</w:t>
            </w:r>
            <w:r>
              <w:rPr>
                <w:rFonts w:ascii="宋体" w:eastAsia="宋体" w:hAnsi="宋体" w:cs="宋体" w:hint="eastAsia"/>
                <w:sz w:val="21"/>
                <w:szCs w:val="21"/>
                <w:lang w:val="en-US" w:eastAsia="zh-CN"/>
              </w:rPr>
              <w:t>如有增减的</w:t>
            </w:r>
            <w:r>
              <w:rPr>
                <w:rFonts w:ascii="宋体" w:eastAsia="宋体" w:hAnsi="宋体" w:cs="宋体" w:hint="eastAsia"/>
                <w:sz w:val="21"/>
                <w:szCs w:val="21"/>
              </w:rPr>
              <w:t>以</w:t>
            </w:r>
            <w:r>
              <w:rPr>
                <w:rFonts w:ascii="宋体" w:eastAsia="宋体" w:hAnsi="宋体" w:cs="宋体" w:hint="eastAsia"/>
                <w:sz w:val="21"/>
                <w:szCs w:val="21"/>
                <w:lang w:val="en-US" w:eastAsia="zh-CN"/>
              </w:rPr>
              <w:t>上级主管部门</w:t>
            </w:r>
            <w:r>
              <w:rPr>
                <w:rFonts w:ascii="宋体" w:eastAsia="宋体" w:hAnsi="宋体" w:cs="宋体" w:hint="eastAsia"/>
                <w:sz w:val="21"/>
                <w:szCs w:val="21"/>
              </w:rPr>
              <w:t>审计价为准。</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lang w:val="en-US" w:eastAsia="zh-CN"/>
              </w:rPr>
              <w:t>9</w:t>
            </w:r>
            <w:r>
              <w:rPr>
                <w:rFonts w:ascii="宋体" w:eastAsia="宋体" w:hAnsi="宋体" w:cs="宋体" w:hint="eastAsia"/>
                <w:sz w:val="21"/>
                <w:szCs w:val="21"/>
              </w:rPr>
              <w:t>.因维护费由政府拨款，如因政策的影响，拨款未能及时到位，中标人不得据此不履行合同规定的义务，否则采购方按规定扣罚。</w:t>
            </w:r>
          </w:p>
          <w:p>
            <w:pPr>
              <w:adjustRightInd w:val="0"/>
              <w:snapToGrid w:val="0"/>
              <w:spacing w:line="360" w:lineRule="auto"/>
              <w:jc w:val="left"/>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10</w:t>
            </w:r>
            <w:r>
              <w:rPr>
                <w:rFonts w:ascii="宋体" w:eastAsia="宋体" w:hAnsi="宋体" w:cs="宋体" w:hint="eastAsia"/>
                <w:sz w:val="21"/>
                <w:szCs w:val="21"/>
              </w:rPr>
              <w:t>.</w:t>
            </w:r>
            <w:r>
              <w:rPr>
                <w:rFonts w:ascii="宋体" w:eastAsia="宋体" w:hAnsi="宋体" w:cs="宋体" w:hint="eastAsia"/>
                <w:sz w:val="21"/>
                <w:szCs w:val="21"/>
                <w:lang w:val="en-US" w:eastAsia="zh-CN"/>
              </w:rPr>
              <w:t>履约保证金在项目服务期结束</w:t>
            </w:r>
            <w:r>
              <w:rPr>
                <w:rFonts w:ascii="宋体" w:eastAsia="宋体" w:hAnsi="宋体" w:cs="宋体" w:hint="eastAsia"/>
                <w:sz w:val="21"/>
                <w:szCs w:val="21"/>
              </w:rPr>
              <w:t>、</w:t>
            </w:r>
            <w:r>
              <w:rPr>
                <w:rFonts w:ascii="宋体" w:eastAsia="宋体" w:hAnsi="宋体" w:cs="宋体" w:hint="eastAsia"/>
                <w:sz w:val="21"/>
                <w:szCs w:val="21"/>
                <w:lang w:val="en-US" w:eastAsia="zh-CN"/>
              </w:rPr>
              <w:t>中标人将高压设施完好移交给采购人并提交书面退还履约担保申请后，30日内按原方式退还，不计利息</w:t>
            </w:r>
            <w:r>
              <w:rPr>
                <w:rFonts w:ascii="宋体" w:eastAsia="宋体" w:hAnsi="宋体" w:cs="宋体" w:hint="eastAsia"/>
                <w:sz w:val="21"/>
                <w:szCs w:val="21"/>
              </w:rPr>
              <w:t>。</w:t>
            </w:r>
            <w:r>
              <w:rPr>
                <w:rFonts w:ascii="宋体" w:eastAsia="宋体" w:hAnsi="宋体" w:cs="宋体" w:hint="eastAsia"/>
                <w:sz w:val="21"/>
                <w:szCs w:val="21"/>
                <w:lang w:val="en-US" w:eastAsia="zh-CN"/>
              </w:rPr>
              <w:t>因乙方原因而未能达到本项目验收标准或验收不通过的，履约保证金不予退还。</w:t>
            </w:r>
          </w:p>
          <w:p>
            <w:pPr>
              <w:pStyle w:val="BodyText"/>
              <w:ind w:firstLine="0" w:firstLineChars="0"/>
              <w:rPr>
                <w:rFonts w:ascii="宋体" w:eastAsia="宋体" w:hAnsi="宋体" w:cs="宋体" w:hint="eastAsia"/>
                <w:kern w:val="0"/>
                <w:sz w:val="21"/>
                <w:szCs w:val="21"/>
              </w:rPr>
            </w:pPr>
            <w:r>
              <w:rPr>
                <w:rFonts w:ascii="宋体" w:eastAsia="宋体" w:hAnsi="宋体" w:cs="宋体" w:hint="eastAsia"/>
                <w:b w:val="0"/>
                <w:bCs w:val="0"/>
                <w:color w:val="auto"/>
                <w:sz w:val="21"/>
                <w:szCs w:val="21"/>
                <w:highlight w:val="none"/>
                <w:u w:val="none"/>
                <w:lang w:val="en-US" w:eastAsia="zh-CN"/>
              </w:rPr>
              <w:t>11</w:t>
            </w:r>
            <w:r>
              <w:rPr>
                <w:rFonts w:ascii="宋体" w:eastAsia="宋体" w:hAnsi="宋体" w:cs="宋体" w:hint="eastAsia"/>
                <w:b w:val="0"/>
                <w:bCs w:val="0"/>
                <w:color w:val="auto"/>
                <w:sz w:val="21"/>
                <w:szCs w:val="21"/>
                <w:highlight w:val="none"/>
                <w:u w:val="none"/>
              </w:rPr>
              <w:t>.项目实施过程中涉及道路挖掘与恢复、绿化开挖与恢复、涉燃气施工、涉地铁施工、供用电手续办理等情况，相关主管部门明确要求由指定单位进行恢复或采取特定措施的，经招标人同意后</w:t>
            </w:r>
            <w:r>
              <w:rPr>
                <w:rFonts w:ascii="宋体" w:eastAsia="宋体" w:hAnsi="宋体" w:cs="宋体" w:hint="eastAsia"/>
                <w:b w:val="0"/>
                <w:bCs w:val="0"/>
                <w:color w:val="auto"/>
                <w:sz w:val="21"/>
                <w:szCs w:val="21"/>
                <w:highlight w:val="none"/>
                <w:u w:val="none"/>
                <w:lang w:eastAsia="zh-CN"/>
              </w:rPr>
              <w:t>由中标人</w:t>
            </w:r>
            <w:r>
              <w:rPr>
                <w:rFonts w:ascii="宋体" w:eastAsia="宋体" w:hAnsi="宋体" w:cs="宋体" w:hint="eastAsia"/>
                <w:b w:val="0"/>
                <w:bCs w:val="0"/>
                <w:color w:val="auto"/>
                <w:sz w:val="21"/>
                <w:szCs w:val="21"/>
                <w:highlight w:val="none"/>
                <w:u w:val="none"/>
              </w:rPr>
              <w:t>予以实施，所产生费用可根据相关部门指导价予以结算，中标人需提供完整资料用于结算。最终结算价以采购人上级主管部门审计价为准。</w:t>
            </w:r>
          </w:p>
        </w:tc>
      </w:tr>
      <w:tr>
        <w:tblPrEx>
          <w:tblW w:w="8363" w:type="dxa"/>
          <w:tblInd w:w="392" w:type="dxa"/>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eastAsia="宋体" w:hAnsi="宋体" w:cs="宋体" w:hint="eastAsia"/>
                <w:kern w:val="0"/>
                <w:sz w:val="21"/>
                <w:szCs w:val="21"/>
                <w:lang w:val="en-US" w:eastAsia="zh-CN"/>
              </w:rPr>
            </w:pPr>
            <w:r>
              <w:rPr>
                <w:rFonts w:ascii="宋体" w:eastAsia="宋体" w:hAnsi="宋体" w:cs="宋体" w:hint="eastAsia"/>
                <w:kern w:val="0"/>
                <w:sz w:val="21"/>
                <w:szCs w:val="21"/>
                <w:lang w:val="en-US" w:eastAsia="zh-CN"/>
              </w:rPr>
              <w:t>6</w:t>
            </w:r>
          </w:p>
        </w:tc>
        <w:tc>
          <w:tcPr>
            <w:tcW w:w="7658" w:type="dxa"/>
            <w:vAlign w:val="center"/>
          </w:tcPr>
          <w:p>
            <w:pPr>
              <w:adjustRightInd w:val="0"/>
              <w:snapToGrid w:val="0"/>
              <w:spacing w:line="360" w:lineRule="auto"/>
              <w:jc w:val="left"/>
              <w:rPr>
                <w:rFonts w:ascii="宋体" w:eastAsia="宋体" w:hAnsi="宋体" w:cs="宋体" w:hint="eastAsia"/>
                <w:kern w:val="0"/>
                <w:sz w:val="21"/>
                <w:szCs w:val="21"/>
                <w:lang w:val="en-US" w:eastAsia="zh-CN"/>
              </w:rPr>
            </w:pPr>
            <w:r>
              <w:rPr>
                <w:rFonts w:ascii="宋体" w:eastAsia="宋体" w:hAnsi="宋体" w:cs="宋体" w:hint="eastAsia"/>
                <w:kern w:val="0"/>
                <w:sz w:val="21"/>
                <w:szCs w:val="21"/>
                <w:lang w:val="en-US" w:eastAsia="zh-CN"/>
              </w:rPr>
              <w:t>本项目为包干制，报价中需包括服务成本、路灯箱变及线路维护工具及设备和设备使用费、法定税费和企业的利润等一切为完成本项目所应尽的费用。投标人在投标文件“详细分项报价”中提供的分项报价应至少包括以下内容：</w:t>
            </w:r>
          </w:p>
          <w:p>
            <w:pPr>
              <w:adjustRightInd w:val="0"/>
              <w:snapToGrid w:val="0"/>
              <w:spacing w:line="360" w:lineRule="auto"/>
              <w:jc w:val="left"/>
              <w:rPr>
                <w:rFonts w:ascii="宋体" w:eastAsia="宋体" w:hAnsi="宋体" w:cs="宋体" w:hint="eastAsia"/>
                <w:kern w:val="0"/>
                <w:sz w:val="21"/>
                <w:szCs w:val="21"/>
                <w:lang w:val="en-US" w:eastAsia="zh-CN"/>
              </w:rPr>
            </w:pPr>
            <w:r>
              <w:rPr>
                <w:rFonts w:ascii="宋体" w:eastAsia="宋体" w:hAnsi="宋体" w:cs="宋体" w:hint="eastAsia"/>
                <w:kern w:val="0"/>
                <w:sz w:val="21"/>
                <w:szCs w:val="21"/>
                <w:lang w:val="en-US" w:eastAsia="zh-CN"/>
              </w:rPr>
              <w:t>（1）固定费用（含员工工资、加班费、奖金、福利、服装、社保、保险等费用和行政办公费、房租费、通讯费、人员装备费、车辆维护费用等）；</w:t>
            </w:r>
          </w:p>
          <w:p>
            <w:pPr>
              <w:adjustRightInd w:val="0"/>
              <w:snapToGrid w:val="0"/>
              <w:spacing w:line="360" w:lineRule="auto"/>
              <w:jc w:val="left"/>
              <w:rPr>
                <w:rFonts w:ascii="宋体" w:eastAsia="宋体" w:hAnsi="宋体" w:cs="宋体" w:hint="eastAsia"/>
                <w:kern w:val="0"/>
                <w:sz w:val="21"/>
                <w:szCs w:val="21"/>
                <w:lang w:val="en-US" w:eastAsia="zh-CN"/>
              </w:rPr>
            </w:pPr>
            <w:r>
              <w:rPr>
                <w:rFonts w:ascii="宋体" w:eastAsia="宋体" w:hAnsi="宋体" w:cs="宋体" w:hint="eastAsia"/>
                <w:kern w:val="0"/>
                <w:sz w:val="21"/>
                <w:szCs w:val="21"/>
                <w:lang w:val="en-US" w:eastAsia="zh-CN"/>
              </w:rPr>
              <w:t>（2）维护费用（该部分为综合单价（含材料费、人工费、车辆台班费、管理费、利润）、规费、措施费、税费及其他等等）。</w:t>
            </w:r>
          </w:p>
        </w:tc>
      </w:tr>
      <w:tr>
        <w:tblPrEx>
          <w:tblW w:w="8363" w:type="dxa"/>
          <w:tblInd w:w="392" w:type="dxa"/>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eastAsia="宋体" w:hAnsi="宋体" w:cs="宋体" w:hint="default"/>
                <w:kern w:val="0"/>
                <w:sz w:val="21"/>
                <w:szCs w:val="21"/>
                <w:lang w:val="en-US" w:eastAsia="zh-CN"/>
              </w:rPr>
            </w:pPr>
            <w:r>
              <w:rPr>
                <w:rFonts w:ascii="宋体" w:hAnsi="宋体" w:cs="宋体" w:hint="eastAsia"/>
                <w:kern w:val="0"/>
                <w:sz w:val="21"/>
                <w:szCs w:val="21"/>
                <w:lang w:val="en-US" w:eastAsia="zh-CN"/>
              </w:rPr>
              <w:t>7</w:t>
            </w:r>
          </w:p>
        </w:tc>
        <w:tc>
          <w:tcPr>
            <w:tcW w:w="7658" w:type="dxa"/>
            <w:vAlign w:val="center"/>
          </w:tcPr>
          <w:p>
            <w:pPr>
              <w:adjustRightInd w:val="0"/>
              <w:snapToGrid w:val="0"/>
              <w:spacing w:line="360" w:lineRule="auto"/>
              <w:jc w:val="left"/>
              <w:rPr>
                <w:rFonts w:ascii="宋体" w:eastAsia="宋体" w:hAnsi="宋体" w:cs="宋体" w:hint="eastAsia"/>
                <w:kern w:val="0"/>
                <w:sz w:val="21"/>
                <w:szCs w:val="21"/>
                <w:lang w:val="en-US" w:eastAsia="zh-CN"/>
              </w:rPr>
            </w:pPr>
            <w:r>
              <w:rPr>
                <w:rFonts w:ascii="宋体" w:eastAsia="宋体" w:hAnsi="宋体" w:cs="宋体" w:hint="eastAsia"/>
                <w:kern w:val="0"/>
                <w:sz w:val="21"/>
                <w:szCs w:val="21"/>
                <w:lang w:val="en-US" w:eastAsia="zh-CN"/>
              </w:rPr>
              <w:t>任意一项费用的投标报价超过其最高限价的，将导致投标无效。</w:t>
            </w:r>
          </w:p>
        </w:tc>
      </w:tr>
    </w:tbl>
    <w:p>
      <w:pPr>
        <w:adjustRightInd w:val="0"/>
        <w:snapToGrid w:val="0"/>
        <w:spacing w:line="360" w:lineRule="auto"/>
        <w:ind w:firstLine="420" w:firstLineChars="200"/>
      </w:pPr>
      <w:r>
        <w:rPr>
          <w:rFonts w:ascii="黑体" w:hint="eastAsia"/>
          <w:b/>
          <w:kern w:val="0"/>
          <w:sz w:val="24"/>
        </w:rPr>
        <w:t>注：上表所列内容为不可负偏离条款。</w:t>
      </w:r>
    </w:p>
    <w:p>
      <w:pPr>
        <w:pStyle w:val="BodyText"/>
        <w:keepNext w:val="0"/>
        <w:keepLines w:val="0"/>
        <w:pageBreakBefore w:val="0"/>
        <w:widowControl w:val="0"/>
        <w:kinsoku/>
        <w:wordWrap/>
        <w:overflowPunct/>
        <w:topLinePunct w:val="0"/>
        <w:autoSpaceDE/>
        <w:autoSpaceDN/>
        <w:bidi w:val="0"/>
        <w:adjustRightInd/>
        <w:snapToGrid/>
        <w:spacing w:before="156" w:beforeLines="50" w:after="156" w:afterLines="50"/>
        <w:jc w:val="center"/>
        <w:textAlignment w:val="auto"/>
        <w:rPr>
          <w:rFonts w:ascii="宋体" w:hAnsi="宋体"/>
          <w:sz w:val="28"/>
          <w:szCs w:val="28"/>
        </w:rPr>
      </w:pPr>
      <w:bookmarkEnd w:id="11"/>
      <w:r>
        <w:rPr>
          <w:rFonts w:ascii="宋体" w:hAnsi="宋体" w:hint="eastAsia"/>
          <w:sz w:val="28"/>
          <w:szCs w:val="28"/>
        </w:rPr>
        <w:t>三、项目概况</w:t>
      </w:r>
    </w:p>
    <w:p>
      <w:pPr>
        <w:pStyle w:val="BodyText"/>
      </w:pPr>
      <w:r>
        <w:rPr>
          <w:rFonts w:hint="eastAsia"/>
        </w:rPr>
        <w:t>（一）采购需求</w:t>
      </w:r>
    </w:p>
    <w:tbl>
      <w:tblPr>
        <w:tblStyle w:val="TableNormal"/>
        <w:tblW w:w="97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Pr>
      <w:tblGrid>
        <w:gridCol w:w="866"/>
        <w:gridCol w:w="3685"/>
        <w:gridCol w:w="921"/>
        <w:gridCol w:w="922"/>
        <w:gridCol w:w="1701"/>
        <w:gridCol w:w="1701"/>
      </w:tblGrid>
      <w:tr>
        <w:tblPrEx>
          <w:tblW w:w="97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PrEx>
        <w:trPr>
          <w:trHeight w:val="689"/>
        </w:trPr>
        <w:tc>
          <w:tcPr>
            <w:tcW w:w="866" w:type="dxa"/>
            <w:tcBorders>
              <w:tl2br w:val="nil"/>
              <w:tr2bl w:val="nil"/>
            </w:tcBorders>
            <w:vAlign w:val="center"/>
          </w:tcPr>
          <w:p>
            <w:pPr>
              <w:widowControl/>
              <w:adjustRightInd w:val="0"/>
              <w:snapToGrid w:val="0"/>
              <w:spacing w:line="360" w:lineRule="auto"/>
              <w:jc w:val="center"/>
              <w:textAlignment w:val="center"/>
              <w:rPr>
                <w:rFonts w:ascii="宋体" w:eastAsia="宋体" w:hAnsi="宋体" w:cs="宋体" w:hint="eastAsia"/>
                <w:b/>
                <w:sz w:val="21"/>
                <w:szCs w:val="21"/>
              </w:rPr>
            </w:pPr>
            <w:r>
              <w:rPr>
                <w:rFonts w:ascii="宋体" w:eastAsia="宋体" w:hAnsi="宋体" w:cs="宋体" w:hint="eastAsia"/>
                <w:b/>
                <w:sz w:val="21"/>
                <w:szCs w:val="21"/>
              </w:rPr>
              <w:t>序号</w:t>
            </w:r>
          </w:p>
        </w:tc>
        <w:tc>
          <w:tcPr>
            <w:tcW w:w="3685" w:type="dxa"/>
            <w:tcBorders>
              <w:tl2br w:val="nil"/>
              <w:tr2bl w:val="nil"/>
            </w:tcBorders>
            <w:vAlign w:val="center"/>
          </w:tcPr>
          <w:p>
            <w:pPr>
              <w:widowControl/>
              <w:adjustRightInd w:val="0"/>
              <w:snapToGrid w:val="0"/>
              <w:spacing w:line="360" w:lineRule="auto"/>
              <w:jc w:val="center"/>
              <w:textAlignment w:val="center"/>
              <w:rPr>
                <w:rFonts w:ascii="宋体" w:eastAsia="宋体" w:hAnsi="宋体" w:cs="宋体" w:hint="eastAsia"/>
                <w:b/>
                <w:color w:val="FF0000"/>
                <w:sz w:val="21"/>
                <w:szCs w:val="21"/>
              </w:rPr>
            </w:pPr>
            <w:r>
              <w:rPr>
                <w:rFonts w:ascii="宋体" w:eastAsia="宋体" w:hAnsi="宋体" w:cs="宋体" w:hint="eastAsia"/>
                <w:b/>
                <w:color w:val="FF0000"/>
                <w:sz w:val="21"/>
                <w:szCs w:val="21"/>
              </w:rPr>
              <w:t>标的名称</w:t>
            </w:r>
          </w:p>
        </w:tc>
        <w:tc>
          <w:tcPr>
            <w:tcW w:w="921" w:type="dxa"/>
            <w:tcBorders>
              <w:tl2br w:val="nil"/>
              <w:tr2bl w:val="nil"/>
            </w:tcBorders>
            <w:vAlign w:val="center"/>
          </w:tcPr>
          <w:p>
            <w:pPr>
              <w:widowControl/>
              <w:adjustRightInd w:val="0"/>
              <w:snapToGrid w:val="0"/>
              <w:spacing w:line="360" w:lineRule="auto"/>
              <w:jc w:val="center"/>
              <w:textAlignment w:val="center"/>
              <w:rPr>
                <w:rFonts w:ascii="宋体" w:eastAsia="宋体" w:hAnsi="宋体" w:cs="宋体" w:hint="eastAsia"/>
                <w:b/>
                <w:sz w:val="21"/>
                <w:szCs w:val="21"/>
              </w:rPr>
            </w:pPr>
            <w:r>
              <w:rPr>
                <w:rFonts w:ascii="宋体" w:eastAsia="宋体" w:hAnsi="宋体" w:cs="宋体" w:hint="eastAsia"/>
                <w:b/>
                <w:sz w:val="21"/>
                <w:szCs w:val="21"/>
              </w:rPr>
              <w:t>数量</w:t>
            </w:r>
          </w:p>
        </w:tc>
        <w:tc>
          <w:tcPr>
            <w:tcW w:w="922" w:type="dxa"/>
            <w:tcBorders>
              <w:tl2br w:val="nil"/>
              <w:tr2bl w:val="nil"/>
            </w:tcBorders>
            <w:vAlign w:val="center"/>
          </w:tcPr>
          <w:p>
            <w:pPr>
              <w:widowControl/>
              <w:adjustRightInd w:val="0"/>
              <w:snapToGrid w:val="0"/>
              <w:spacing w:line="360" w:lineRule="auto"/>
              <w:jc w:val="center"/>
              <w:textAlignment w:val="center"/>
              <w:rPr>
                <w:rFonts w:ascii="宋体" w:eastAsia="宋体" w:hAnsi="宋体" w:cs="宋体" w:hint="eastAsia"/>
                <w:b/>
                <w:sz w:val="21"/>
                <w:szCs w:val="21"/>
              </w:rPr>
            </w:pPr>
            <w:r>
              <w:rPr>
                <w:rFonts w:ascii="宋体" w:eastAsia="宋体" w:hAnsi="宋体" w:cs="宋体" w:hint="eastAsia"/>
                <w:b/>
                <w:sz w:val="21"/>
                <w:szCs w:val="21"/>
              </w:rPr>
              <w:t>单位</w:t>
            </w:r>
          </w:p>
        </w:tc>
        <w:tc>
          <w:tcPr>
            <w:tcW w:w="1701" w:type="dxa"/>
            <w:tcBorders>
              <w:tl2br w:val="nil"/>
              <w:tr2bl w:val="nil"/>
            </w:tcBorders>
            <w:vAlign w:val="center"/>
          </w:tcPr>
          <w:p>
            <w:pPr>
              <w:widowControl/>
              <w:adjustRightInd w:val="0"/>
              <w:snapToGrid w:val="0"/>
              <w:spacing w:line="360" w:lineRule="auto"/>
              <w:jc w:val="center"/>
              <w:textAlignment w:val="center"/>
              <w:rPr>
                <w:rFonts w:ascii="宋体" w:eastAsia="宋体" w:hAnsi="宋体" w:cs="宋体" w:hint="eastAsia"/>
                <w:b/>
                <w:sz w:val="21"/>
                <w:szCs w:val="21"/>
              </w:rPr>
            </w:pPr>
            <w:r>
              <w:rPr>
                <w:rFonts w:ascii="宋体" w:eastAsia="宋体" w:hAnsi="宋体" w:cs="宋体" w:hint="eastAsia"/>
                <w:b/>
                <w:sz w:val="21"/>
                <w:szCs w:val="21"/>
              </w:rPr>
              <w:t>采购预算金额</w:t>
            </w:r>
          </w:p>
          <w:p>
            <w:pPr>
              <w:widowControl/>
              <w:adjustRightInd w:val="0"/>
              <w:snapToGrid w:val="0"/>
              <w:spacing w:line="360" w:lineRule="auto"/>
              <w:jc w:val="center"/>
              <w:textAlignment w:val="center"/>
              <w:rPr>
                <w:rFonts w:ascii="宋体" w:eastAsia="宋体" w:hAnsi="宋体" w:cs="宋体" w:hint="eastAsia"/>
                <w:b/>
                <w:sz w:val="21"/>
                <w:szCs w:val="21"/>
              </w:rPr>
            </w:pPr>
            <w:r>
              <w:rPr>
                <w:rFonts w:ascii="宋体" w:eastAsia="宋体" w:hAnsi="宋体" w:cs="宋体" w:hint="eastAsia"/>
                <w:b/>
                <w:sz w:val="21"/>
                <w:szCs w:val="21"/>
              </w:rPr>
              <w:t>（人民币元）</w:t>
            </w:r>
          </w:p>
        </w:tc>
        <w:tc>
          <w:tcPr>
            <w:tcW w:w="1701" w:type="dxa"/>
            <w:tcBorders>
              <w:tl2br w:val="nil"/>
              <w:tr2bl w:val="nil"/>
            </w:tcBorders>
            <w:vAlign w:val="center"/>
          </w:tcPr>
          <w:p>
            <w:pPr>
              <w:widowControl/>
              <w:adjustRightInd w:val="0"/>
              <w:snapToGrid w:val="0"/>
              <w:spacing w:line="360" w:lineRule="auto"/>
              <w:jc w:val="center"/>
              <w:textAlignment w:val="center"/>
              <w:rPr>
                <w:rFonts w:ascii="宋体" w:eastAsia="宋体" w:hAnsi="宋体" w:cs="宋体" w:hint="eastAsia"/>
                <w:b/>
                <w:sz w:val="21"/>
                <w:szCs w:val="21"/>
              </w:rPr>
            </w:pPr>
            <w:r>
              <w:rPr>
                <w:rFonts w:ascii="宋体" w:eastAsia="宋体" w:hAnsi="宋体" w:cs="宋体" w:hint="eastAsia"/>
                <w:b/>
                <w:sz w:val="21"/>
                <w:szCs w:val="21"/>
              </w:rPr>
              <w:t>备注</w:t>
            </w:r>
          </w:p>
        </w:tc>
      </w:tr>
      <w:tr>
        <w:tblPrEx>
          <w:tblW w:w="9796" w:type="dxa"/>
          <w:tblInd w:w="0" w:type="dxa"/>
          <w:tblLayout w:type="fixed"/>
          <w:tblCellMar>
            <w:top w:w="15" w:type="dxa"/>
            <w:left w:w="15" w:type="dxa"/>
            <w:bottom w:w="15" w:type="dxa"/>
            <w:right w:w="15" w:type="dxa"/>
          </w:tblCellMar>
        </w:tblPrEx>
        <w:trPr>
          <w:trHeight w:val="799"/>
        </w:trPr>
        <w:tc>
          <w:tcPr>
            <w:tcW w:w="866" w:type="dxa"/>
            <w:tcBorders>
              <w:tl2br w:val="nil"/>
              <w:tr2bl w:val="nil"/>
            </w:tcBorders>
            <w:vAlign w:val="center"/>
          </w:tcPr>
          <w:p>
            <w:pPr>
              <w:widowControl/>
              <w:adjustRightInd w:val="0"/>
              <w:snapToGrid w:val="0"/>
              <w:spacing w:line="360" w:lineRule="auto"/>
              <w:jc w:val="center"/>
              <w:textAlignment w:val="center"/>
              <w:rPr>
                <w:rFonts w:ascii="宋体" w:eastAsia="宋体" w:hAnsi="宋体" w:cs="宋体" w:hint="eastAsia"/>
                <w:sz w:val="21"/>
                <w:szCs w:val="21"/>
              </w:rPr>
            </w:pPr>
            <w:r>
              <w:rPr>
                <w:rFonts w:ascii="宋体" w:eastAsia="宋体" w:hAnsi="宋体" w:cs="宋体" w:hint="eastAsia"/>
                <w:sz w:val="21"/>
                <w:szCs w:val="21"/>
              </w:rPr>
              <w:t>1</w:t>
            </w:r>
          </w:p>
        </w:tc>
        <w:tc>
          <w:tcPr>
            <w:tcW w:w="3685" w:type="dxa"/>
            <w:tcBorders>
              <w:tl2br w:val="nil"/>
              <w:tr2bl w:val="nil"/>
            </w:tcBorders>
            <w:vAlign w:val="center"/>
          </w:tcPr>
          <w:p>
            <w:pPr>
              <w:widowControl/>
              <w:adjustRightInd w:val="0"/>
              <w:snapToGrid w:val="0"/>
              <w:spacing w:line="360" w:lineRule="auto"/>
              <w:jc w:val="center"/>
              <w:textAlignment w:val="center"/>
              <w:rPr>
                <w:rFonts w:ascii="宋体" w:eastAsia="宋体" w:hAnsi="宋体" w:cs="宋体" w:hint="eastAsia"/>
                <w:sz w:val="21"/>
                <w:szCs w:val="21"/>
                <w:lang w:eastAsia="zh-CN"/>
              </w:rPr>
            </w:pPr>
            <w:r>
              <w:rPr>
                <w:rFonts w:ascii="宋体" w:hAnsi="宋体" w:cs="宋体" w:hint="eastAsia"/>
                <w:snapToGrid w:val="0"/>
                <w:sz w:val="21"/>
                <w:szCs w:val="21"/>
                <w:lang w:eastAsia="zh-CN"/>
              </w:rPr>
              <w:t>2024年高压设施维护服务</w:t>
            </w:r>
          </w:p>
        </w:tc>
        <w:tc>
          <w:tcPr>
            <w:tcW w:w="921" w:type="dxa"/>
            <w:tcBorders>
              <w:tl2br w:val="nil"/>
              <w:tr2bl w:val="nil"/>
            </w:tcBorders>
            <w:vAlign w:val="center"/>
          </w:tcPr>
          <w:p>
            <w:pPr>
              <w:widowControl/>
              <w:adjustRightInd w:val="0"/>
              <w:snapToGrid w:val="0"/>
              <w:spacing w:line="360" w:lineRule="auto"/>
              <w:jc w:val="center"/>
              <w:textAlignment w:val="center"/>
              <w:rPr>
                <w:rFonts w:ascii="宋体" w:eastAsia="宋体" w:hAnsi="宋体" w:cs="宋体" w:hint="eastAsia"/>
                <w:sz w:val="21"/>
                <w:szCs w:val="21"/>
              </w:rPr>
            </w:pPr>
            <w:r>
              <w:rPr>
                <w:rFonts w:ascii="宋体" w:eastAsia="宋体" w:hAnsi="宋体" w:cs="宋体" w:hint="eastAsia"/>
                <w:sz w:val="21"/>
                <w:szCs w:val="21"/>
              </w:rPr>
              <w:t>1</w:t>
            </w:r>
          </w:p>
        </w:tc>
        <w:tc>
          <w:tcPr>
            <w:tcW w:w="922" w:type="dxa"/>
            <w:tcBorders>
              <w:tl2br w:val="nil"/>
              <w:tr2bl w:val="nil"/>
            </w:tcBorders>
            <w:vAlign w:val="center"/>
          </w:tcPr>
          <w:p>
            <w:pPr>
              <w:widowControl/>
              <w:adjustRightInd w:val="0"/>
              <w:snapToGrid w:val="0"/>
              <w:spacing w:line="360" w:lineRule="auto"/>
              <w:jc w:val="center"/>
              <w:textAlignment w:val="center"/>
              <w:rPr>
                <w:rFonts w:ascii="宋体" w:eastAsia="宋体" w:hAnsi="宋体" w:cs="宋体" w:hint="eastAsia"/>
                <w:sz w:val="21"/>
                <w:szCs w:val="21"/>
              </w:rPr>
            </w:pPr>
            <w:r>
              <w:rPr>
                <w:rFonts w:ascii="宋体" w:eastAsia="宋体" w:hAnsi="宋体" w:cs="宋体" w:hint="eastAsia"/>
                <w:sz w:val="21"/>
                <w:szCs w:val="21"/>
              </w:rPr>
              <w:t>项</w:t>
            </w:r>
          </w:p>
        </w:tc>
        <w:tc>
          <w:tcPr>
            <w:tcW w:w="1701" w:type="dxa"/>
            <w:tcBorders>
              <w:tl2br w:val="nil"/>
              <w:tr2bl w:val="nil"/>
            </w:tcBorders>
            <w:vAlign w:val="center"/>
          </w:tcPr>
          <w:p>
            <w:pPr>
              <w:widowControl/>
              <w:adjustRightInd w:val="0"/>
              <w:snapToGrid w:val="0"/>
              <w:spacing w:line="360" w:lineRule="auto"/>
              <w:jc w:val="center"/>
              <w:textAlignment w:val="center"/>
              <w:rPr>
                <w:rFonts w:ascii="宋体" w:eastAsia="宋体" w:hAnsi="宋体" w:cs="宋体" w:hint="eastAsia"/>
                <w:sz w:val="21"/>
                <w:szCs w:val="21"/>
              </w:rPr>
            </w:pPr>
            <w:r>
              <w:rPr>
                <w:rFonts w:ascii="宋体" w:eastAsia="宋体" w:hAnsi="宋体" w:cs="宋体" w:hint="eastAsia"/>
                <w:sz w:val="21"/>
                <w:szCs w:val="21"/>
              </w:rPr>
              <w:t>6,300,000.00</w:t>
            </w:r>
          </w:p>
        </w:tc>
        <w:tc>
          <w:tcPr>
            <w:tcW w:w="1701" w:type="dxa"/>
            <w:tcBorders>
              <w:tl2br w:val="nil"/>
              <w:tr2bl w:val="nil"/>
            </w:tcBorders>
            <w:vAlign w:val="center"/>
          </w:tcPr>
          <w:p>
            <w:pPr>
              <w:widowControl/>
              <w:adjustRightInd w:val="0"/>
              <w:snapToGrid w:val="0"/>
              <w:spacing w:line="360" w:lineRule="auto"/>
              <w:jc w:val="center"/>
              <w:textAlignment w:val="center"/>
              <w:rPr>
                <w:rFonts w:ascii="宋体" w:eastAsia="宋体" w:hAnsi="宋体" w:cs="宋体" w:hint="eastAsia"/>
                <w:sz w:val="21"/>
                <w:szCs w:val="21"/>
              </w:rPr>
            </w:pPr>
            <w:r>
              <w:rPr>
                <w:rFonts w:ascii="宋体" w:eastAsia="宋体" w:hAnsi="宋体" w:cs="宋体" w:hint="eastAsia"/>
                <w:sz w:val="21"/>
                <w:szCs w:val="21"/>
              </w:rPr>
              <w:t>无</w:t>
            </w:r>
          </w:p>
        </w:tc>
      </w:tr>
    </w:tbl>
    <w:p>
      <w:pPr>
        <w:pStyle w:val="BodyText"/>
      </w:pPr>
      <w:r>
        <w:rPr>
          <w:rFonts w:hint="eastAsia"/>
        </w:rPr>
        <w:t>（二）项目背景</w:t>
      </w:r>
    </w:p>
    <w:p>
      <w:pPr>
        <w:pStyle w:val="BodyText"/>
        <w:keepNext w:val="0"/>
        <w:keepLines w:val="0"/>
        <w:pageBreakBefore w:val="0"/>
        <w:widowControl w:val="0"/>
        <w:kinsoku/>
        <w:wordWrap/>
        <w:overflowPunct/>
        <w:topLinePunct w:val="0"/>
        <w:bidi w:val="0"/>
        <w:snapToGrid/>
        <w:spacing w:line="360" w:lineRule="auto"/>
        <w:ind w:firstLine="424" w:firstLineChars="202"/>
        <w:textAlignment w:val="auto"/>
        <w:rPr>
          <w:b w:val="0"/>
          <w:sz w:val="21"/>
          <w:szCs w:val="21"/>
        </w:rPr>
      </w:pPr>
      <w:r>
        <w:rPr>
          <w:rFonts w:ascii="宋体" w:hAnsi="宋体" w:cs="宋体" w:hint="eastAsia"/>
          <w:b w:val="0"/>
          <w:sz w:val="21"/>
          <w:szCs w:val="21"/>
        </w:rPr>
        <w:t>本项目为路灯</w:t>
      </w:r>
      <w:r>
        <w:rPr>
          <w:rFonts w:ascii="宋体" w:hAnsi="宋体" w:cs="宋体" w:hint="eastAsia"/>
          <w:b w:val="0"/>
          <w:sz w:val="21"/>
          <w:szCs w:val="21"/>
          <w:lang w:eastAsia="zh-CN"/>
        </w:rPr>
        <w:t>2024年高压设施维护服务</w:t>
      </w:r>
      <w:r>
        <w:rPr>
          <w:rFonts w:ascii="宋体" w:hAnsi="宋体" w:cs="宋体" w:hint="eastAsia"/>
          <w:b w:val="0"/>
          <w:sz w:val="21"/>
          <w:szCs w:val="21"/>
        </w:rPr>
        <w:t>项目，招标维护范围为深圳市，具体服务内容包括对深圳市市容景观事务中心现管理的约549处路灯箱变、环网柜、配电房（详见招标文件附件：《深圳市市容景观事务中心箱变、配电房、环网柜统计表》）的电容补偿柜、低压进线总开关及其前端部分（含变压器、环网柜等高压设施及其配套设备）、约500公里10kV电力电缆等进行管理、维护、巡查、检测、被盗恢复，对易被盗的设施采用有效的巡查、加固等措施以减少偷盗的发生，对老旧及故障设施进行及时更换或修复，编制并及时更新设施单线图、电力设施位置系统图等，编制汇总巡查、维护、抢修、检测等信息、资料，对每台设备建立台账、档案，上述服务所发生的费用全部包含于项目合同总价内。</w:t>
      </w:r>
    </w:p>
    <w:p>
      <w:pPr>
        <w:keepNext w:val="0"/>
        <w:keepLines w:val="0"/>
        <w:pageBreakBefore w:val="0"/>
        <w:widowControl w:val="0"/>
        <w:kinsoku/>
        <w:wordWrap/>
        <w:overflowPunct/>
        <w:topLinePunct w:val="0"/>
        <w:autoSpaceDE w:val="0"/>
        <w:autoSpaceDN w:val="0"/>
        <w:bidi w:val="0"/>
        <w:adjustRightInd w:val="0"/>
        <w:snapToGrid/>
        <w:spacing w:line="360" w:lineRule="auto"/>
        <w:ind w:firstLine="370" w:firstLineChars="176"/>
        <w:jc w:val="left"/>
        <w:textAlignment w:val="auto"/>
        <w:rPr>
          <w:rFonts w:ascii="宋体" w:eastAsia="宋体" w:hAnsi="宋体" w:cs="宋体" w:hint="eastAsia"/>
          <w:b/>
          <w:sz w:val="21"/>
          <w:szCs w:val="21"/>
        </w:rPr>
      </w:pPr>
      <w:r>
        <w:rPr>
          <w:rFonts w:ascii="宋体" w:eastAsia="宋体" w:hAnsi="宋体" w:cs="宋体" w:hint="eastAsia"/>
          <w:b/>
          <w:sz w:val="21"/>
          <w:szCs w:val="21"/>
        </w:rPr>
        <w:t>备注：</w:t>
      </w:r>
    </w:p>
    <w:p>
      <w:pPr>
        <w:keepNext w:val="0"/>
        <w:keepLines w:val="0"/>
        <w:pageBreakBefore w:val="0"/>
        <w:widowControl w:val="0"/>
        <w:kinsoku/>
        <w:wordWrap/>
        <w:overflowPunct/>
        <w:topLinePunct w:val="0"/>
        <w:autoSpaceDE w:val="0"/>
        <w:autoSpaceDN w:val="0"/>
        <w:bidi w:val="0"/>
        <w:adjustRightInd w:val="0"/>
        <w:snapToGrid/>
        <w:spacing w:line="360" w:lineRule="auto"/>
        <w:ind w:firstLine="370" w:firstLineChars="176"/>
        <w:jc w:val="left"/>
        <w:textAlignment w:val="auto"/>
        <w:rPr>
          <w:rFonts w:ascii="宋体" w:eastAsia="宋体" w:hAnsi="宋体" w:cs="宋体" w:hint="eastAsia"/>
          <w:b/>
          <w:sz w:val="21"/>
          <w:szCs w:val="21"/>
        </w:rPr>
      </w:pPr>
      <w:r>
        <w:rPr>
          <w:rFonts w:ascii="宋体" w:eastAsia="宋体" w:hAnsi="宋体" w:cs="宋体" w:hint="eastAsia"/>
          <w:b/>
          <w:sz w:val="21"/>
          <w:szCs w:val="21"/>
        </w:rPr>
        <w:t>1、本项目需求中出现的工艺、材料、设备或参照的品牌等仅为方便描述而没有限制性，投标人可以在其提供的文件资料中选用替代标准，但这些替代标准要优于或相当于项目需求中要求的标准。</w:t>
      </w:r>
    </w:p>
    <w:p>
      <w:pPr>
        <w:keepNext w:val="0"/>
        <w:keepLines w:val="0"/>
        <w:pageBreakBefore w:val="0"/>
        <w:widowControl w:val="0"/>
        <w:kinsoku/>
        <w:wordWrap/>
        <w:overflowPunct/>
        <w:topLinePunct w:val="0"/>
        <w:autoSpaceDE w:val="0"/>
        <w:autoSpaceDN w:val="0"/>
        <w:bidi w:val="0"/>
        <w:adjustRightInd w:val="0"/>
        <w:snapToGrid/>
        <w:spacing w:line="360" w:lineRule="auto"/>
        <w:ind w:firstLine="370" w:firstLineChars="176"/>
        <w:jc w:val="left"/>
        <w:textAlignment w:val="auto"/>
        <w:rPr>
          <w:rFonts w:ascii="宋体" w:eastAsia="宋体" w:hAnsi="宋体" w:cs="宋体" w:hint="eastAsia"/>
          <w:b/>
          <w:sz w:val="21"/>
          <w:szCs w:val="21"/>
        </w:rPr>
      </w:pPr>
      <w:r>
        <w:rPr>
          <w:rFonts w:ascii="宋体" w:eastAsia="宋体" w:hAnsi="宋体" w:cs="宋体" w:hint="eastAsia"/>
          <w:b/>
          <w:sz w:val="21"/>
          <w:szCs w:val="21"/>
        </w:rPr>
        <w:t>2、如要求提供证明材料，投标文件需提供相应证明材料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keepNext w:val="0"/>
        <w:keepLines w:val="0"/>
        <w:pageBreakBefore w:val="0"/>
        <w:widowControl w:val="0"/>
        <w:kinsoku/>
        <w:wordWrap/>
        <w:overflowPunct/>
        <w:topLinePunct w:val="0"/>
        <w:autoSpaceDE w:val="0"/>
        <w:autoSpaceDN w:val="0"/>
        <w:bidi w:val="0"/>
        <w:adjustRightInd w:val="0"/>
        <w:snapToGrid/>
        <w:spacing w:line="360" w:lineRule="auto"/>
        <w:ind w:firstLine="370" w:firstLineChars="176"/>
        <w:jc w:val="left"/>
        <w:textAlignment w:val="auto"/>
        <w:rPr>
          <w:rFonts w:ascii="宋体" w:eastAsia="宋体" w:hAnsi="宋体" w:cs="宋体" w:hint="eastAsia"/>
          <w:b/>
          <w:sz w:val="21"/>
          <w:szCs w:val="21"/>
        </w:rPr>
      </w:pPr>
      <w:r>
        <w:rPr>
          <w:rFonts w:ascii="宋体" w:eastAsia="宋体" w:hAnsi="宋体" w:cs="宋体" w:hint="eastAsia"/>
          <w:b/>
          <w:sz w:val="21"/>
          <w:szCs w:val="21"/>
        </w:rPr>
        <w:t>3、投标人提供证书或检测报告等证明材料的，颁发证书、出具报告的机构须是合法设立的机构，且具有颁发相应证书或者出具相应报告的资质。</w:t>
      </w:r>
    </w:p>
    <w:p>
      <w:pPr>
        <w:keepNext w:val="0"/>
        <w:keepLines w:val="0"/>
        <w:pageBreakBefore w:val="0"/>
        <w:widowControl w:val="0"/>
        <w:kinsoku/>
        <w:wordWrap/>
        <w:overflowPunct/>
        <w:topLinePunct w:val="0"/>
        <w:autoSpaceDE w:val="0"/>
        <w:autoSpaceDN w:val="0"/>
        <w:bidi w:val="0"/>
        <w:adjustRightInd w:val="0"/>
        <w:snapToGrid/>
        <w:spacing w:line="360" w:lineRule="auto"/>
        <w:ind w:firstLine="370" w:firstLineChars="176"/>
        <w:jc w:val="left"/>
        <w:textAlignment w:val="auto"/>
        <w:rPr>
          <w:rFonts w:ascii="仿宋_GB2312" w:eastAsia="仿宋_GB2312" w:hAnsi="Times New Roman"/>
          <w:b/>
          <w:sz w:val="24"/>
          <w:szCs w:val="24"/>
        </w:rPr>
      </w:pPr>
      <w:r>
        <w:rPr>
          <w:rFonts w:ascii="宋体" w:eastAsia="宋体" w:hAnsi="宋体" w:cs="宋体" w:hint="eastAsia"/>
          <w:b/>
          <w:sz w:val="21"/>
          <w:szCs w:val="21"/>
          <w:highlight w:val="yellow"/>
        </w:rPr>
        <w:t>4、加注★的条款为不可负偏离条款，任一项未响应或不满足要求的，将导致投标无效。</w:t>
      </w:r>
    </w:p>
    <w:p>
      <w:pPr>
        <w:keepNext w:val="0"/>
        <w:keepLines w:val="0"/>
        <w:pageBreakBefore w:val="0"/>
        <w:widowControl w:val="0"/>
        <w:kinsoku/>
        <w:wordWrap/>
        <w:overflowPunct/>
        <w:topLinePunct w:val="0"/>
        <w:autoSpaceDE/>
        <w:autoSpaceDN/>
        <w:bidi w:val="0"/>
        <w:adjustRightInd w:val="0"/>
        <w:snapToGrid/>
        <w:spacing w:before="156" w:beforeLines="50" w:after="156" w:afterLines="50" w:line="360" w:lineRule="auto"/>
        <w:jc w:val="center"/>
        <w:textAlignment w:val="baseline"/>
        <w:outlineLvl w:val="1"/>
        <w:rPr>
          <w:rFonts w:ascii="宋体" w:eastAsia="宋体" w:hAnsi="宋体" w:cs="宋体" w:hint="eastAsia"/>
          <w:b/>
          <w:bCs/>
          <w:kern w:val="0"/>
          <w:sz w:val="28"/>
          <w:szCs w:val="28"/>
        </w:rPr>
      </w:pPr>
      <w:r>
        <w:rPr>
          <w:rFonts w:ascii="宋体" w:eastAsia="宋体" w:hAnsi="宋体" w:cs="宋体" w:hint="eastAsia"/>
          <w:b/>
          <w:bCs/>
          <w:kern w:val="0"/>
          <w:sz w:val="28"/>
          <w:szCs w:val="28"/>
        </w:rPr>
        <w:t>四、项目服务要求</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b/>
          <w:bCs/>
          <w:szCs w:val="21"/>
        </w:rPr>
      </w:pPr>
      <w:r>
        <w:rPr>
          <w:rFonts w:ascii="宋体" w:eastAsia="宋体" w:hAnsi="宋体" w:cs="宋体" w:hint="eastAsia"/>
          <w:b/>
          <w:bCs/>
          <w:szCs w:val="21"/>
        </w:rPr>
        <w:t>（一）服务内容</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采购人现有箱变、环网柜、配电房（低压进线总开关及其前端部分、电容补偿柜）、10kV电力电缆（含电缆管道）及其他电气控制设施、配套设施均按现状交由中标人维护、管养。投标人收到中标通知书后3天内进场，负责熟悉设施并与原维护单位办理好设施及资料移交手续，合同期开始后需保证设施正常运行，在项目交接期间的所有费用由中标人负责。</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2、中标人须对现有设施现状接管维护。自合同生效起需保证设施已有的各项功能正常运行，保证用电安全。自合同生效起对发生的故障、被盗等在合同规定的时间内修复。</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3、日常维护工作</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（1）箱变、电缆及其配套设施维护</w:t>
      </w:r>
      <w:r>
        <w:rPr>
          <w:rFonts w:ascii="宋体" w:eastAsia="宋体" w:hAnsi="宋体" w:cs="宋体" w:hint="eastAsia"/>
          <w:szCs w:val="21"/>
          <w:lang w:val="en-US" w:eastAsia="zh-CN"/>
        </w:rPr>
        <w:t>及巡查</w:t>
      </w:r>
      <w:r>
        <w:rPr>
          <w:rFonts w:ascii="宋体" w:eastAsia="宋体" w:hAnsi="宋体" w:cs="宋体" w:hint="eastAsia"/>
          <w:szCs w:val="21"/>
        </w:rPr>
        <w:t>，确保其正常工作；</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2）环网柜室、变压器室、配电房内清洁，箱变外壳清洁、刷漆、破损修复，围栏清洁刷新、破损修复，悬挂（补齐）安全、警示标语，保障通风设施、防（灭）火设施、进出线标示、照明、防盗设备、高压断路器（继保）的完好及正常运行，测量低压侧各相电流等；</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w:t>
      </w:r>
      <w:r>
        <w:rPr>
          <w:rFonts w:ascii="宋体" w:eastAsia="宋体" w:hAnsi="宋体" w:cs="宋体" w:hint="eastAsia"/>
          <w:szCs w:val="21"/>
          <w:lang w:val="en-US" w:eastAsia="zh-CN"/>
        </w:rPr>
        <w:t>3</w:t>
      </w:r>
      <w:r>
        <w:rPr>
          <w:rFonts w:ascii="宋体" w:eastAsia="宋体" w:hAnsi="宋体" w:cs="宋体" w:hint="eastAsia"/>
          <w:szCs w:val="21"/>
        </w:rPr>
        <w:t>）定期检测高压设施的绝缘电阻、接地电阻；</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w:t>
      </w:r>
      <w:r>
        <w:rPr>
          <w:rFonts w:ascii="宋体" w:eastAsia="宋体" w:hAnsi="宋体" w:cs="宋体" w:hint="eastAsia"/>
          <w:szCs w:val="21"/>
          <w:lang w:val="en-US" w:eastAsia="zh-CN"/>
        </w:rPr>
        <w:t>4</w:t>
      </w:r>
      <w:r>
        <w:rPr>
          <w:rFonts w:ascii="宋体" w:eastAsia="宋体" w:hAnsi="宋体" w:cs="宋体" w:hint="eastAsia"/>
          <w:szCs w:val="21"/>
        </w:rPr>
        <w:t>）箱变周边草坪、树枝清理，箱变围栏内垃圾清理；</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w:t>
      </w:r>
      <w:r>
        <w:rPr>
          <w:rFonts w:ascii="宋体" w:eastAsia="宋体" w:hAnsi="宋体" w:cs="宋体" w:hint="eastAsia"/>
          <w:szCs w:val="21"/>
          <w:lang w:val="en-US" w:eastAsia="zh-CN"/>
        </w:rPr>
        <w:t>5</w:t>
      </w:r>
      <w:r>
        <w:rPr>
          <w:rFonts w:ascii="宋体" w:eastAsia="宋体" w:hAnsi="宋体" w:cs="宋体" w:hint="eastAsia"/>
          <w:szCs w:val="21"/>
        </w:rPr>
        <w:t>）核查供电部门停电通知单影响范围及停电原因，并于停电当天进行现场跟进，确保路灯正常亮灯；</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w:t>
      </w:r>
      <w:r>
        <w:rPr>
          <w:rFonts w:ascii="宋体" w:eastAsia="宋体" w:hAnsi="宋体" w:cs="宋体" w:hint="eastAsia"/>
          <w:szCs w:val="21"/>
          <w:lang w:val="en-US" w:eastAsia="zh-CN"/>
        </w:rPr>
        <w:t>6</w:t>
      </w:r>
      <w:r>
        <w:rPr>
          <w:rFonts w:ascii="宋体" w:eastAsia="宋体" w:hAnsi="宋体" w:cs="宋体" w:hint="eastAsia"/>
          <w:szCs w:val="21"/>
        </w:rPr>
        <w:t>）对高压设施（含10kV电缆路径）进行信息普查并更新数据；</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w:t>
      </w:r>
      <w:r>
        <w:rPr>
          <w:rFonts w:ascii="宋体" w:eastAsia="宋体" w:hAnsi="宋体" w:cs="宋体" w:hint="eastAsia"/>
          <w:szCs w:val="21"/>
          <w:lang w:val="en-US" w:eastAsia="zh-CN"/>
        </w:rPr>
        <w:t>7</w:t>
      </w:r>
      <w:r>
        <w:rPr>
          <w:rFonts w:ascii="宋体" w:eastAsia="宋体" w:hAnsi="宋体" w:cs="宋体" w:hint="eastAsia"/>
          <w:szCs w:val="21"/>
        </w:rPr>
        <w:t>）保障高压设施的完好，做好</w:t>
      </w:r>
      <w:r>
        <w:rPr>
          <w:rFonts w:ascii="宋体" w:eastAsia="宋体" w:hAnsi="宋体" w:cs="宋体" w:hint="eastAsia"/>
          <w:szCs w:val="21"/>
          <w:lang w:val="en-US" w:eastAsia="zh-CN"/>
        </w:rPr>
        <w:t>设施</w:t>
      </w:r>
      <w:r>
        <w:rPr>
          <w:rFonts w:ascii="宋体" w:eastAsia="宋体" w:hAnsi="宋体" w:cs="宋体" w:hint="eastAsia"/>
          <w:szCs w:val="21"/>
        </w:rPr>
        <w:t>用电安全排查和整治工作，承担安全生产事故责任；</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lang w:eastAsia="zh-CN"/>
        </w:rPr>
        <w:t>（</w:t>
      </w:r>
      <w:r>
        <w:rPr>
          <w:rFonts w:ascii="宋体" w:eastAsia="宋体" w:hAnsi="宋体" w:cs="宋体" w:hint="eastAsia"/>
          <w:szCs w:val="21"/>
          <w:lang w:val="en-US" w:eastAsia="zh-CN"/>
        </w:rPr>
        <w:t>6</w:t>
      </w:r>
      <w:r>
        <w:rPr>
          <w:rFonts w:ascii="宋体" w:eastAsia="宋体" w:hAnsi="宋体" w:cs="宋体" w:hint="eastAsia"/>
          <w:szCs w:val="21"/>
          <w:lang w:eastAsia="zh-CN"/>
        </w:rPr>
        <w:t>）</w:t>
      </w:r>
      <w:r>
        <w:rPr>
          <w:rFonts w:ascii="宋体" w:eastAsia="宋体" w:hAnsi="宋体" w:cs="宋体" w:hint="eastAsia"/>
          <w:szCs w:val="21"/>
          <w:lang w:val="en-US" w:eastAsia="zh-CN"/>
        </w:rPr>
        <w:t>每月按照设施巡查情况，填写箱变</w:t>
      </w:r>
      <w:r>
        <w:rPr>
          <w:rFonts w:ascii="宋体" w:eastAsia="宋体" w:hAnsi="宋体" w:cs="宋体" w:hint="eastAsia"/>
          <w:szCs w:val="21"/>
        </w:rPr>
        <w:t>、</w:t>
      </w:r>
      <w:r>
        <w:rPr>
          <w:rFonts w:ascii="宋体" w:eastAsia="宋体" w:hAnsi="宋体" w:cs="宋体" w:hint="eastAsia"/>
          <w:szCs w:val="21"/>
          <w:lang w:val="en-US" w:eastAsia="zh-CN"/>
        </w:rPr>
        <w:t>配电房</w:t>
      </w:r>
      <w:r>
        <w:rPr>
          <w:rFonts w:ascii="宋体" w:eastAsia="宋体" w:hAnsi="宋体" w:cs="宋体" w:hint="eastAsia"/>
          <w:b w:val="0"/>
          <w:bCs/>
          <w:sz w:val="21"/>
          <w:szCs w:val="21"/>
        </w:rPr>
        <w:t>巡查记录表</w:t>
      </w:r>
      <w:r>
        <w:rPr>
          <w:rFonts w:ascii="宋体" w:eastAsia="宋体" w:hAnsi="宋体" w:cs="宋体" w:hint="eastAsia"/>
          <w:b w:val="0"/>
          <w:bCs/>
          <w:sz w:val="21"/>
          <w:szCs w:val="21"/>
          <w:lang w:eastAsia="zh-CN"/>
        </w:rPr>
        <w:t>（</w:t>
      </w:r>
      <w:r>
        <w:rPr>
          <w:rFonts w:ascii="宋体" w:eastAsia="宋体" w:hAnsi="宋体" w:cs="宋体" w:hint="eastAsia"/>
          <w:b w:val="0"/>
          <w:bCs/>
          <w:sz w:val="21"/>
          <w:szCs w:val="21"/>
          <w:lang w:val="en-US" w:eastAsia="zh-CN"/>
        </w:rPr>
        <w:t>详见表5</w:t>
      </w:r>
      <w:r>
        <w:rPr>
          <w:rFonts w:ascii="宋体" w:eastAsia="宋体" w:hAnsi="宋体" w:cs="宋体" w:hint="eastAsia"/>
          <w:b w:val="0"/>
          <w:bCs/>
          <w:sz w:val="21"/>
          <w:szCs w:val="21"/>
          <w:lang w:eastAsia="zh-CN"/>
        </w:rPr>
        <w:t>）</w:t>
      </w:r>
      <w:r>
        <w:rPr>
          <w:rFonts w:ascii="宋体" w:eastAsia="宋体" w:hAnsi="宋体" w:cs="宋体" w:hint="eastAsia"/>
          <w:szCs w:val="21"/>
        </w:rPr>
        <w:t xml:space="preserve">。  </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4、其他维护工作</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（1）建立24小时报障电话值班制度，特殊天气或应急任务时24小时值班。</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2）每月度需安排资料员收集、整理和打印电费发票，含采购人名下所有高低压用电点位，约六百余处；每月按电费单及电费发票现场核实箱变电表度数，对采购人的各电表用电量按照采购人要求进行统计，发现异常的，上报采购人，做好电量分析，包括功率因数、用电负荷分析，对未合理用电的提出解决建议。</w:t>
      </w:r>
      <w:r>
        <w:rPr>
          <w:rFonts w:ascii="宋体" w:eastAsia="宋体" w:hAnsi="宋体" w:cs="宋体" w:hint="eastAsia"/>
          <w:szCs w:val="21"/>
          <w:lang w:val="en-US" w:eastAsia="zh-CN"/>
        </w:rPr>
        <w:t>每月</w:t>
      </w:r>
      <w:r>
        <w:rPr>
          <w:rFonts w:ascii="宋体" w:eastAsia="宋体" w:hAnsi="宋体" w:cs="宋体" w:hint="eastAsia"/>
          <w:kern w:val="0"/>
          <w:szCs w:val="21"/>
        </w:rPr>
        <w:t>未及时打印、整理电费发票及核对电表读数</w:t>
      </w:r>
      <w:r>
        <w:rPr>
          <w:rFonts w:ascii="宋体" w:eastAsia="宋体" w:hAnsi="宋体" w:cs="宋体" w:hint="eastAsia"/>
          <w:kern w:val="0"/>
          <w:szCs w:val="21"/>
          <w:lang w:eastAsia="zh-CN"/>
        </w:rPr>
        <w:t>的</w:t>
      </w:r>
      <w:r>
        <w:rPr>
          <w:rFonts w:ascii="宋体" w:eastAsia="宋体" w:hAnsi="宋体" w:cs="宋体" w:hint="eastAsia"/>
          <w:kern w:val="0"/>
          <w:szCs w:val="21"/>
        </w:rPr>
        <w:t>，</w:t>
      </w:r>
      <w:r>
        <w:rPr>
          <w:rFonts w:ascii="宋体" w:eastAsia="宋体" w:hAnsi="宋体" w:cs="宋体" w:hint="eastAsia"/>
          <w:b w:val="0"/>
          <w:bCs/>
          <w:kern w:val="0"/>
          <w:szCs w:val="21"/>
          <w:u w:val="none"/>
        </w:rPr>
        <w:t>扣</w:t>
      </w:r>
      <w:r>
        <w:rPr>
          <w:rFonts w:ascii="宋体" w:eastAsia="宋体" w:hAnsi="宋体" w:cs="宋体" w:hint="eastAsia"/>
          <w:b w:val="0"/>
          <w:bCs/>
          <w:kern w:val="0"/>
          <w:szCs w:val="21"/>
          <w:u w:val="none"/>
          <w:lang w:val="en-US" w:eastAsia="zh-CN"/>
        </w:rPr>
        <w:t>当月维护费</w:t>
      </w:r>
      <w:r>
        <w:rPr>
          <w:rFonts w:ascii="宋体" w:eastAsia="宋体" w:hAnsi="宋体" w:cs="宋体" w:hint="eastAsia"/>
          <w:b w:val="0"/>
          <w:bCs/>
          <w:kern w:val="0"/>
          <w:szCs w:val="21"/>
          <w:u w:val="none"/>
        </w:rPr>
        <w:t>1000元。</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（3）每半年对各箱变外接电用户的用电点、用电负荷进行检查。</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（4）做好安全用电检查和整治工作，承担安全生产事故责任。</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（5）配合采购人工作需要，进行停送电操作。</w:t>
      </w:r>
    </w:p>
    <w:p>
      <w:pPr>
        <w:pStyle w:val="a"/>
        <w:keepNext w:val="0"/>
        <w:keepLines w:val="0"/>
        <w:pageBreakBefore w:val="0"/>
        <w:widowControl w:val="0"/>
        <w:kinsoku/>
        <w:wordWrap/>
        <w:overflowPunct/>
        <w:topLinePunct w:val="0"/>
        <w:bidi w:val="0"/>
        <w:snapToGrid/>
        <w:spacing w:before="0" w:after="0" w:line="360" w:lineRule="auto"/>
        <w:ind w:firstLine="420" w:firstLineChars="200"/>
        <w:rPr>
          <w:rFonts w:ascii="宋体" w:eastAsia="宋体" w:hAnsi="宋体" w:cs="宋体" w:hint="eastAsia"/>
          <w:sz w:val="21"/>
          <w:szCs w:val="21"/>
          <w:lang w:val="en-US" w:eastAsia="zh-CN"/>
        </w:rPr>
      </w:pP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6）配合采购人进行设施移交验收接管、配合采购人负责实施的项目施工管理等采购人安排的工作。</w:t>
      </w:r>
    </w:p>
    <w:p>
      <w:pPr>
        <w:pStyle w:val="a"/>
        <w:keepNext w:val="0"/>
        <w:keepLines w:val="0"/>
        <w:pageBreakBefore w:val="0"/>
        <w:widowControl w:val="0"/>
        <w:kinsoku/>
        <w:wordWrap/>
        <w:overflowPunct/>
        <w:topLinePunct w:val="0"/>
        <w:bidi w:val="0"/>
        <w:snapToGrid/>
        <w:spacing w:before="0" w:after="0" w:line="360" w:lineRule="auto"/>
        <w:ind w:firstLine="630" w:firstLineChars="300"/>
        <w:rPr>
          <w:rFonts w:ascii="宋体" w:eastAsia="宋体" w:hAnsi="宋体" w:cs="宋体" w:hint="default"/>
          <w:sz w:val="21"/>
          <w:szCs w:val="21"/>
          <w:lang w:val="en-US" w:eastAsia="zh-CN"/>
        </w:rPr>
      </w:pPr>
      <w:r>
        <w:rPr>
          <w:rFonts w:ascii="宋体" w:eastAsia="宋体" w:hAnsi="宋体" w:cs="宋体" w:hint="eastAsia"/>
          <w:sz w:val="21"/>
          <w:szCs w:val="21"/>
          <w:lang w:eastAsia="zh-CN"/>
        </w:rPr>
        <w:t>（</w:t>
      </w:r>
      <w:r>
        <w:rPr>
          <w:rFonts w:ascii="宋体" w:eastAsia="宋体" w:hAnsi="宋体" w:cs="宋体" w:hint="eastAsia"/>
          <w:sz w:val="21"/>
          <w:szCs w:val="21"/>
          <w:lang w:val="en-US" w:eastAsia="zh-CN"/>
        </w:rPr>
        <w:t>6）</w:t>
      </w:r>
      <w:r>
        <w:rPr>
          <w:rFonts w:ascii="宋体" w:hAnsi="宋体" w:cs="宋体" w:hint="eastAsia"/>
          <w:sz w:val="21"/>
          <w:szCs w:val="21"/>
          <w:lang w:val="en-US" w:eastAsia="zh-CN"/>
        </w:rPr>
        <w:t>在服务期内进行设施安全隐患排查并提交排查报告至采购人，中标人根据报告排除安全隐患。</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b/>
          <w:bCs/>
          <w:szCs w:val="21"/>
        </w:rPr>
      </w:pPr>
      <w:r>
        <w:rPr>
          <w:rFonts w:ascii="宋体" w:eastAsia="宋体" w:hAnsi="宋体" w:cs="宋体" w:hint="eastAsia"/>
          <w:b/>
          <w:bCs/>
          <w:szCs w:val="21"/>
        </w:rPr>
        <w:t>（二）风险提示</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在合同期内，因国家建设需要征用或由于政府管理事项交接等原因，需要大范围减少维护承包方管养范围或提前结束合同期时，维护费用将实时结算（按照投标报价减少合同费用），因此造成的经济损失，采购人不负赔偿责任。</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2、中标人须对现有设施现状接管维护，接管后需保证设施已有的各项功能正常运行，保证用电安全。</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3、中标人需考虑因合同执行中的违约处罚对项目收益的影响。</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4、中标人需考虑被盗损失，外力破坏造成的损失且无法追索等对项目收益的影响（但不包含不可抗力造成的损失）。</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b/>
          <w:bCs/>
          <w:szCs w:val="21"/>
        </w:rPr>
      </w:pPr>
      <w:r>
        <w:rPr>
          <w:rFonts w:ascii="宋体" w:eastAsia="宋体" w:hAnsi="宋体" w:cs="宋体" w:hint="eastAsia"/>
          <w:b/>
          <w:bCs/>
          <w:szCs w:val="21"/>
        </w:rPr>
        <w:t>（三）项目提示</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中标人需熟悉深圳市的道路情况，对市政路灯箱变的线路情况有一定的了解，并且熟悉深圳市各区供电局的办事流程、维护、抢修程序，在出现故障抢修时能够及时与供电局进行沟通。本项目部分工作内容需向供电部门办理工作票才能开展，中标人需具备供电局办理工作票“两种人”资格。</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2、项目维护、抢修时需严格执行安全管理规范、交通法规、道路、绿化管理部门的规定等，如因违反相关法规造成的维护、抢修工作未能按时完成，责任由中标人负责。</w:t>
      </w:r>
    </w:p>
    <w:p>
      <w:pPr>
        <w:keepNext w:val="0"/>
        <w:keepLines w:val="0"/>
        <w:pageBreakBefore w:val="0"/>
        <w:widowControl w:val="0"/>
        <w:kinsoku/>
        <w:wordWrap/>
        <w:overflowPunct/>
        <w:topLinePunct w:val="0"/>
        <w:bidi w:val="0"/>
        <w:snapToGrid/>
        <w:spacing w:line="360" w:lineRule="auto"/>
        <w:ind w:firstLine="420"/>
        <w:rPr>
          <w:rFonts w:ascii="宋体" w:eastAsia="宋体" w:hAnsi="宋体" w:cs="宋体" w:hint="eastAsia"/>
          <w:b/>
          <w:bCs/>
          <w:szCs w:val="21"/>
        </w:rPr>
      </w:pPr>
      <w:r>
        <w:rPr>
          <w:rFonts w:ascii="宋体" w:eastAsia="宋体" w:hAnsi="宋体" w:cs="宋体" w:hint="eastAsia"/>
          <w:b/>
          <w:bCs/>
          <w:szCs w:val="21"/>
        </w:rPr>
        <w:t>（四）具体服务内容</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b/>
          <w:color w:val="000000"/>
          <w:szCs w:val="21"/>
        </w:rPr>
      </w:pPr>
      <w:r>
        <w:rPr>
          <w:rFonts w:ascii="宋体" w:eastAsia="宋体" w:hAnsi="宋体" w:cs="宋体" w:hint="eastAsia"/>
          <w:b/>
          <w:color w:val="000000"/>
          <w:szCs w:val="21"/>
        </w:rPr>
        <w:t>1.巡查维护</w:t>
      </w:r>
    </w:p>
    <w:p>
      <w:pPr>
        <w:pStyle w:val="a"/>
        <w:keepNext w:val="0"/>
        <w:keepLines w:val="0"/>
        <w:pageBreakBefore w:val="0"/>
        <w:widowControl w:val="0"/>
        <w:kinsoku/>
        <w:wordWrap/>
        <w:overflowPunct/>
        <w:topLinePunct w:val="0"/>
        <w:bidi w:val="0"/>
        <w:snapToGrid/>
        <w:spacing w:before="0" w:after="0" w:line="360" w:lineRule="auto"/>
        <w:rPr>
          <w:rFonts w:ascii="宋体" w:eastAsia="宋体" w:hAnsi="宋体" w:cs="宋体" w:hint="eastAsia"/>
          <w:bCs/>
          <w:sz w:val="21"/>
          <w:szCs w:val="21"/>
        </w:rPr>
      </w:pPr>
      <w:r>
        <w:rPr>
          <w:rFonts w:ascii="宋体" w:eastAsia="宋体" w:hAnsi="宋体" w:cs="宋体" w:hint="eastAsia"/>
          <w:bCs/>
          <w:sz w:val="21"/>
          <w:szCs w:val="21"/>
        </w:rPr>
        <w:t xml:space="preserve">   </w:t>
      </w:r>
      <w:r>
        <w:rPr>
          <w:rFonts w:ascii="宋体" w:eastAsia="宋体" w:hAnsi="宋体" w:cs="宋体" w:hint="eastAsia"/>
          <w:bCs/>
          <w:spacing w:val="0"/>
          <w:sz w:val="21"/>
          <w:szCs w:val="21"/>
        </w:rPr>
        <w:t>（1）日常巡查。</w:t>
      </w:r>
      <w:r>
        <w:rPr>
          <w:rFonts w:ascii="宋体" w:eastAsia="宋体" w:hAnsi="宋体" w:cs="宋体" w:hint="eastAsia"/>
          <w:sz w:val="21"/>
          <w:szCs w:val="21"/>
        </w:rPr>
        <w:t>设专人巡检制度，合理安排专人专责对路灯箱式变电站及高压电缆巡检，建立对巡查设施的签到制度，并向采购人提供巡检人员名单及负责路段的情况。</w:t>
      </w:r>
      <w:r>
        <w:rPr>
          <w:rFonts w:ascii="宋体" w:eastAsia="宋体" w:hAnsi="宋体" w:cs="宋体" w:hint="eastAsia"/>
          <w:bCs/>
          <w:spacing w:val="0"/>
          <w:sz w:val="21"/>
          <w:szCs w:val="21"/>
        </w:rPr>
        <w:t>对辖区内每台高压设施每月至少巡查一次。（</w:t>
      </w:r>
      <w:r>
        <w:rPr>
          <w:rFonts w:ascii="宋体" w:eastAsia="宋体" w:hAnsi="宋体" w:cs="宋体" w:hint="eastAsia"/>
          <w:bCs/>
          <w:sz w:val="21"/>
          <w:szCs w:val="21"/>
        </w:rPr>
        <w:t>要求巡检员和巡查车辆均配备智能定位终端设备，定位信息能够接入采购人现有信息系统，定位信息将作为维护作业监管和费用核算的依据）；</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zCs w:val="21"/>
        </w:rPr>
      </w:pPr>
      <w:r>
        <w:rPr>
          <w:rFonts w:ascii="宋体" w:eastAsia="宋体" w:hAnsi="宋体" w:cs="宋体" w:hint="eastAsia"/>
          <w:szCs w:val="21"/>
        </w:rPr>
        <w:t>（2）应急巡查。</w:t>
      </w:r>
      <w:r>
        <w:rPr>
          <w:rFonts w:ascii="宋体" w:eastAsia="宋体" w:hAnsi="宋体" w:cs="宋体" w:hint="eastAsia"/>
          <w:szCs w:val="21"/>
          <w:lang w:val="en-US" w:eastAsia="zh-CN"/>
        </w:rPr>
        <w:t>在采购人发布应急响应</w:t>
      </w:r>
      <w:r>
        <w:rPr>
          <w:rFonts w:ascii="宋体" w:eastAsia="宋体" w:hAnsi="宋体" w:cs="宋体" w:hint="eastAsia"/>
          <w:szCs w:val="21"/>
        </w:rPr>
        <w:t>或应急任务时启动应急巡查，范围视</w:t>
      </w:r>
      <w:r>
        <w:rPr>
          <w:rFonts w:ascii="宋体" w:eastAsia="宋体" w:hAnsi="宋体" w:cs="宋体" w:hint="eastAsia"/>
          <w:szCs w:val="21"/>
          <w:lang w:val="en-US" w:eastAsia="zh-CN"/>
        </w:rPr>
        <w:t>采购人要求、</w:t>
      </w:r>
      <w:r>
        <w:rPr>
          <w:rFonts w:ascii="宋体" w:eastAsia="宋体" w:hAnsi="宋体" w:cs="宋体" w:hint="eastAsia"/>
          <w:szCs w:val="21"/>
        </w:rPr>
        <w:t>天气状况及道路实际；</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zCs w:val="21"/>
        </w:rPr>
      </w:pPr>
      <w:r>
        <w:rPr>
          <w:rFonts w:ascii="宋体" w:eastAsia="宋体" w:hAnsi="宋体" w:cs="宋体" w:hint="eastAsia"/>
          <w:szCs w:val="21"/>
        </w:rPr>
        <w:t>（3）巡查内容：</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zCs w:val="21"/>
        </w:rPr>
      </w:pPr>
      <w:r>
        <w:rPr>
          <w:rFonts w:ascii="宋体" w:eastAsia="宋体" w:hAnsi="宋体" w:cs="宋体" w:hint="eastAsia"/>
          <w:szCs w:val="21"/>
        </w:rPr>
        <w:t>1）设施及附属设施完好情况；</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zCs w:val="21"/>
        </w:rPr>
      </w:pPr>
      <w:r>
        <w:rPr>
          <w:rFonts w:ascii="宋体" w:eastAsia="宋体" w:hAnsi="宋体" w:cs="宋体" w:hint="eastAsia"/>
          <w:szCs w:val="21"/>
        </w:rPr>
        <w:t>2）设施运行环境及周边施工对高压设施的影响；</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zCs w:val="21"/>
        </w:rPr>
      </w:pPr>
      <w:r>
        <w:rPr>
          <w:rFonts w:ascii="宋体" w:eastAsia="宋体" w:hAnsi="宋体" w:cs="宋体" w:hint="eastAsia"/>
          <w:szCs w:val="21"/>
        </w:rPr>
        <w:t>3）设施运行的一般故障和重大故障；</w:t>
      </w:r>
    </w:p>
    <w:p>
      <w:pPr>
        <w:pStyle w:val="a"/>
        <w:keepNext w:val="0"/>
        <w:keepLines w:val="0"/>
        <w:pageBreakBefore w:val="0"/>
        <w:widowControl w:val="0"/>
        <w:kinsoku/>
        <w:wordWrap/>
        <w:overflowPunct/>
        <w:topLinePunct w:val="0"/>
        <w:bidi w:val="0"/>
        <w:snapToGrid/>
        <w:spacing w:before="0" w:after="0" w:line="360" w:lineRule="auto"/>
        <w:ind w:firstLine="420" w:firstLineChars="200"/>
        <w:rPr>
          <w:rFonts w:ascii="宋体" w:eastAsia="宋体" w:hAnsi="宋体" w:cs="宋体" w:hint="eastAsia"/>
          <w:spacing w:val="0"/>
          <w:sz w:val="21"/>
          <w:szCs w:val="21"/>
        </w:rPr>
      </w:pPr>
      <w:r>
        <w:rPr>
          <w:rFonts w:ascii="宋体" w:eastAsia="宋体" w:hAnsi="宋体" w:cs="宋体" w:hint="eastAsia"/>
          <w:spacing w:val="0"/>
          <w:sz w:val="21"/>
          <w:szCs w:val="21"/>
        </w:rPr>
        <w:t>4）影响设施供电效果的情况；</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zCs w:val="21"/>
        </w:rPr>
      </w:pPr>
      <w:r>
        <w:rPr>
          <w:rFonts w:ascii="宋体" w:eastAsia="宋体" w:hAnsi="宋体" w:cs="宋体" w:hint="eastAsia"/>
          <w:szCs w:val="21"/>
        </w:rPr>
        <w:t>5）填写箱变内放置的设施检查表。</w:t>
      </w:r>
    </w:p>
    <w:p>
      <w:pPr>
        <w:pStyle w:val="a"/>
        <w:keepNext w:val="0"/>
        <w:keepLines w:val="0"/>
        <w:pageBreakBefore w:val="0"/>
        <w:widowControl w:val="0"/>
        <w:kinsoku/>
        <w:wordWrap/>
        <w:overflowPunct/>
        <w:topLinePunct w:val="0"/>
        <w:bidi w:val="0"/>
        <w:snapToGrid/>
        <w:spacing w:before="0" w:after="0" w:line="360" w:lineRule="auto"/>
        <w:ind w:firstLine="420" w:firstLineChars="200"/>
        <w:rPr>
          <w:rFonts w:ascii="宋体" w:eastAsia="宋体" w:hAnsi="宋体" w:cs="宋体" w:hint="eastAsia"/>
          <w:sz w:val="21"/>
          <w:szCs w:val="21"/>
        </w:rPr>
      </w:pPr>
      <w:r>
        <w:rPr>
          <w:rFonts w:ascii="宋体" w:eastAsia="宋体" w:hAnsi="宋体" w:cs="宋体" w:hint="eastAsia"/>
          <w:spacing w:val="0"/>
          <w:sz w:val="21"/>
          <w:szCs w:val="21"/>
        </w:rPr>
        <w:t>（4）巡查处理：</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zCs w:val="21"/>
        </w:rPr>
      </w:pPr>
      <w:r>
        <w:rPr>
          <w:rFonts w:ascii="宋体" w:eastAsia="宋体" w:hAnsi="宋体" w:cs="宋体" w:hint="eastAsia"/>
          <w:szCs w:val="21"/>
        </w:rPr>
        <w:t>1）若巡查发现有高压设施需要维修的情况，应及时检修，无法及时修复的，应立即保护事故现场，并制定修复计划（该计划反映在工作日志）；</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zCs w:val="21"/>
        </w:rPr>
      </w:pPr>
      <w:r>
        <w:rPr>
          <w:rFonts w:ascii="宋体" w:eastAsia="宋体" w:hAnsi="宋体" w:cs="宋体" w:hint="eastAsia"/>
          <w:szCs w:val="21"/>
        </w:rPr>
        <w:t>2）</w:t>
      </w:r>
      <w:r>
        <w:rPr>
          <w:rFonts w:ascii="宋体" w:eastAsia="宋体" w:hAnsi="宋体" w:cs="宋体" w:hint="eastAsia"/>
          <w:spacing w:val="0"/>
          <w:kern w:val="2"/>
          <w:sz w:val="21"/>
          <w:szCs w:val="21"/>
          <w:lang w:val="en-US" w:eastAsia="zh-CN" w:bidi="ar-SA"/>
        </w:rPr>
        <w:t>属于第三方施工损坏道路照明设施的情况，应首先排查故障原因，同时向采购人报告相关情况，协调第三方施工单位及时修复损坏的道路照明设施，若出现市民投诉的，应在投诉处理期限内，修复该部分损坏的设施；</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zCs w:val="21"/>
        </w:rPr>
      </w:pPr>
      <w:r>
        <w:rPr>
          <w:rFonts w:ascii="宋体" w:eastAsia="宋体" w:hAnsi="宋体" w:cs="宋体" w:hint="eastAsia"/>
          <w:szCs w:val="21"/>
        </w:rPr>
        <w:t>3）巡查到树木根系或枝干侵入箱变围栏时，应收集信息，主动协调绿化管养单位处理。</w:t>
      </w:r>
    </w:p>
    <w:p>
      <w:pPr>
        <w:pStyle w:val="a"/>
        <w:keepNext w:val="0"/>
        <w:keepLines w:val="0"/>
        <w:pageBreakBefore w:val="0"/>
        <w:widowControl w:val="0"/>
        <w:kinsoku/>
        <w:wordWrap/>
        <w:overflowPunct/>
        <w:topLinePunct w:val="0"/>
        <w:bidi w:val="0"/>
        <w:snapToGrid/>
        <w:spacing w:before="0" w:after="0" w:line="360" w:lineRule="auto"/>
        <w:ind w:firstLine="420" w:firstLineChars="200"/>
        <w:rPr>
          <w:rFonts w:ascii="宋体" w:eastAsia="宋体" w:hAnsi="宋体" w:cs="宋体" w:hint="eastAsia"/>
          <w:sz w:val="21"/>
          <w:szCs w:val="21"/>
          <w:lang w:eastAsia="zh-CN"/>
        </w:rPr>
      </w:pPr>
      <w:r>
        <w:rPr>
          <w:rFonts w:ascii="宋体" w:eastAsia="宋体" w:hAnsi="宋体" w:cs="宋体" w:hint="eastAsia"/>
          <w:spacing w:val="0"/>
          <w:sz w:val="21"/>
          <w:szCs w:val="21"/>
        </w:rPr>
        <w:t>4）</w:t>
      </w:r>
      <w:r>
        <w:rPr>
          <w:rFonts w:ascii="宋体" w:eastAsia="宋体" w:hAnsi="宋体" w:cs="宋体" w:hint="eastAsia"/>
          <w:sz w:val="21"/>
          <w:szCs w:val="21"/>
        </w:rPr>
        <w:t>确保路灯箱变设施外观整洁干净。及时对锈蚀路灯箱变设施进行防腐维修并做防锈处理，定期对路灯箱变设施进行清洁</w:t>
      </w:r>
      <w:r>
        <w:rPr>
          <w:rFonts w:ascii="宋体" w:eastAsia="宋体" w:hAnsi="宋体" w:cs="宋体" w:hint="eastAsia"/>
          <w:sz w:val="21"/>
          <w:szCs w:val="21"/>
          <w:lang w:eastAsia="zh-CN"/>
        </w:rPr>
        <w:t>；</w:t>
      </w:r>
    </w:p>
    <w:p>
      <w:pPr>
        <w:pStyle w:val="a"/>
        <w:keepNext w:val="0"/>
        <w:keepLines w:val="0"/>
        <w:pageBreakBefore w:val="0"/>
        <w:widowControl w:val="0"/>
        <w:kinsoku/>
        <w:wordWrap/>
        <w:overflowPunct/>
        <w:topLinePunct w:val="0"/>
        <w:bidi w:val="0"/>
        <w:snapToGrid/>
        <w:spacing w:before="0" w:after="0" w:line="360" w:lineRule="auto"/>
        <w:ind w:firstLine="420" w:firstLineChars="200"/>
        <w:rPr>
          <w:rFonts w:ascii="宋体" w:eastAsia="宋体" w:hAnsi="宋体" w:cs="宋体" w:hint="eastAsia"/>
          <w:color w:val="000000"/>
          <w:sz w:val="21"/>
          <w:szCs w:val="21"/>
          <w:lang w:eastAsia="zh-CN"/>
        </w:rPr>
      </w:pPr>
      <w:r>
        <w:rPr>
          <w:rFonts w:ascii="宋体" w:eastAsia="宋体" w:hAnsi="宋体" w:cs="宋体" w:hint="eastAsia"/>
          <w:bCs/>
          <w:spacing w:val="0"/>
          <w:sz w:val="21"/>
          <w:szCs w:val="21"/>
        </w:rPr>
        <w:t>（5）停电跟进：中标人须</w:t>
      </w:r>
      <w:r>
        <w:rPr>
          <w:rFonts w:ascii="宋体" w:eastAsia="宋体" w:hAnsi="宋体" w:cs="宋体" w:hint="eastAsia"/>
          <w:snapToGrid w:val="0"/>
          <w:kern w:val="0"/>
          <w:sz w:val="21"/>
          <w:szCs w:val="21"/>
        </w:rPr>
        <w:t>跟进供电部门计划停电</w:t>
      </w:r>
      <w:r>
        <w:rPr>
          <w:rFonts w:ascii="宋体" w:eastAsia="宋体" w:hAnsi="宋体" w:cs="宋体" w:hint="eastAsia"/>
          <w:color w:val="000000"/>
          <w:sz w:val="21"/>
          <w:szCs w:val="21"/>
        </w:rPr>
        <w:t>、设施施工、设施故障、</w:t>
      </w:r>
      <w:r>
        <w:rPr>
          <w:rFonts w:ascii="宋体" w:eastAsia="宋体" w:hAnsi="宋体" w:cs="宋体" w:hint="eastAsia"/>
          <w:color w:val="000000"/>
          <w:sz w:val="21"/>
          <w:szCs w:val="21"/>
          <w:lang w:val="en-US" w:eastAsia="zh-CN"/>
        </w:rPr>
        <w:t>台风、暴雨等</w:t>
      </w:r>
      <w:r>
        <w:rPr>
          <w:rFonts w:ascii="宋体" w:eastAsia="宋体" w:hAnsi="宋体" w:cs="宋体" w:hint="eastAsia"/>
          <w:color w:val="000000"/>
          <w:sz w:val="21"/>
          <w:szCs w:val="21"/>
        </w:rPr>
        <w:t>天气等情况下的高压设施停电信息，负责与供电部门沟通了解具体信息并派遣人员跟进现场情况，及时汇报</w:t>
      </w:r>
      <w:r>
        <w:rPr>
          <w:rFonts w:ascii="宋体" w:eastAsia="宋体" w:hAnsi="宋体" w:cs="宋体" w:hint="eastAsia"/>
          <w:color w:val="000000"/>
          <w:sz w:val="21"/>
          <w:szCs w:val="21"/>
          <w:lang w:val="en-US" w:eastAsia="zh-CN"/>
        </w:rPr>
        <w:t>采购人</w:t>
      </w:r>
      <w:r>
        <w:rPr>
          <w:rFonts w:ascii="宋体" w:eastAsia="宋体" w:hAnsi="宋体" w:cs="宋体" w:hint="eastAsia"/>
          <w:color w:val="000000"/>
          <w:sz w:val="21"/>
          <w:szCs w:val="21"/>
          <w:lang w:eastAsia="zh-CN"/>
        </w:rPr>
        <w:t>；</w:t>
      </w:r>
    </w:p>
    <w:p>
      <w:pPr>
        <w:pStyle w:val="a"/>
        <w:keepNext w:val="0"/>
        <w:keepLines w:val="0"/>
        <w:pageBreakBefore w:val="0"/>
        <w:widowControl w:val="0"/>
        <w:kinsoku/>
        <w:wordWrap/>
        <w:overflowPunct/>
        <w:topLinePunct w:val="0"/>
        <w:bidi w:val="0"/>
        <w:snapToGrid/>
        <w:spacing w:before="0" w:after="0" w:line="360" w:lineRule="auto"/>
        <w:ind w:firstLine="420" w:firstLineChars="200"/>
        <w:rPr>
          <w:rFonts w:ascii="宋体" w:eastAsia="宋体" w:hAnsi="宋体" w:cs="宋体" w:hint="eastAsia"/>
          <w:sz w:val="21"/>
          <w:szCs w:val="21"/>
        </w:rPr>
      </w:pPr>
      <w:r>
        <w:rPr>
          <w:rFonts w:ascii="宋体" w:eastAsia="宋体" w:hAnsi="宋体" w:cs="宋体" w:hint="eastAsia"/>
          <w:color w:val="000000"/>
          <w:sz w:val="21"/>
          <w:szCs w:val="21"/>
        </w:rPr>
        <w:t>（6）采购人安排的停送电等相关工作。</w:t>
      </w:r>
    </w:p>
    <w:p>
      <w:pPr>
        <w:pStyle w:val="a"/>
        <w:keepNext w:val="0"/>
        <w:keepLines w:val="0"/>
        <w:pageBreakBefore w:val="0"/>
        <w:widowControl w:val="0"/>
        <w:kinsoku/>
        <w:wordWrap/>
        <w:overflowPunct/>
        <w:topLinePunct w:val="0"/>
        <w:bidi w:val="0"/>
        <w:snapToGrid/>
        <w:spacing w:before="0" w:after="0" w:line="360" w:lineRule="auto"/>
        <w:rPr>
          <w:rFonts w:ascii="宋体" w:eastAsia="宋体" w:hAnsi="宋体" w:cs="宋体" w:hint="eastAsia"/>
          <w:sz w:val="21"/>
          <w:szCs w:val="21"/>
        </w:rPr>
      </w:pPr>
      <w:r>
        <w:rPr>
          <w:rFonts w:ascii="宋体" w:eastAsia="宋体" w:hAnsi="宋体" w:cs="宋体" w:hint="eastAsia"/>
          <w:sz w:val="21"/>
          <w:szCs w:val="21"/>
        </w:rPr>
        <w:t xml:space="preserve">   </w:t>
      </w:r>
      <w:r>
        <w:rPr>
          <w:rFonts w:ascii="宋体" w:eastAsia="宋体" w:hAnsi="宋体" w:cs="宋体" w:hint="eastAsia"/>
          <w:b/>
          <w:color w:val="000000"/>
          <w:sz w:val="21"/>
          <w:szCs w:val="21"/>
        </w:rPr>
        <w:t>2.高压设施维护</w:t>
      </w:r>
    </w:p>
    <w:p>
      <w:pPr>
        <w:pStyle w:val="a"/>
        <w:keepNext w:val="0"/>
        <w:keepLines w:val="0"/>
        <w:pageBreakBefore w:val="0"/>
        <w:widowControl w:val="0"/>
        <w:kinsoku/>
        <w:wordWrap/>
        <w:overflowPunct/>
        <w:topLinePunct w:val="0"/>
        <w:bidi w:val="0"/>
        <w:snapToGrid/>
        <w:spacing w:before="0" w:after="0" w:line="360" w:lineRule="auto"/>
        <w:rPr>
          <w:rFonts w:ascii="宋体" w:eastAsia="宋体" w:hAnsi="宋体" w:cs="宋体" w:hint="eastAsia"/>
          <w:sz w:val="21"/>
          <w:szCs w:val="21"/>
        </w:rPr>
      </w:pPr>
      <w:r>
        <w:rPr>
          <w:rFonts w:ascii="宋体" w:eastAsia="宋体" w:hAnsi="宋体" w:cs="宋体" w:hint="eastAsia"/>
          <w:sz w:val="21"/>
          <w:szCs w:val="21"/>
        </w:rPr>
        <w:t xml:space="preserve">   </w:t>
      </w:r>
      <w:r>
        <w:rPr>
          <w:rFonts w:ascii="宋体" w:eastAsia="宋体" w:hAnsi="宋体" w:cs="宋体" w:hint="eastAsia"/>
          <w:bCs/>
          <w:spacing w:val="0"/>
          <w:sz w:val="21"/>
          <w:szCs w:val="21"/>
        </w:rPr>
        <w:t>（1）刷漆：</w:t>
      </w:r>
      <w:r>
        <w:rPr>
          <w:rFonts w:ascii="宋体" w:eastAsia="宋体" w:hAnsi="宋体" w:cs="宋体" w:hint="eastAsia"/>
          <w:color w:val="000000"/>
          <w:sz w:val="21"/>
          <w:szCs w:val="21"/>
        </w:rPr>
        <w:t>按照城市照明管理单位的要求或实际需要对箱变外表进行喷漆翻新，如有迎检任务或市政府、政府部门要求翻新的路段需按照采购人要求进行。刷漆要求如下：</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color w:val="000000"/>
          <w:szCs w:val="21"/>
        </w:rPr>
      </w:pPr>
      <w:r>
        <w:rPr>
          <w:rFonts w:ascii="宋体" w:eastAsia="宋体" w:hAnsi="宋体" w:cs="宋体" w:hint="eastAsia"/>
          <w:szCs w:val="21"/>
        </w:rPr>
        <w:t xml:space="preserve"> </w:t>
      </w:r>
      <w:r>
        <w:rPr>
          <w:rFonts w:ascii="宋体" w:eastAsia="宋体" w:hAnsi="宋体" w:cs="宋体" w:hint="eastAsia"/>
          <w:color w:val="000000"/>
          <w:szCs w:val="21"/>
        </w:rPr>
        <w:t>1）基础表面处理：依据原有不同的材质及表面材料采用合理的处理方法，除去污渍，如污渍严重的需打磨至露出金属色；</w:t>
      </w:r>
    </w:p>
    <w:p>
      <w:pPr>
        <w:pStyle w:val="a"/>
        <w:keepNext w:val="0"/>
        <w:keepLines w:val="0"/>
        <w:pageBreakBefore w:val="0"/>
        <w:widowControl w:val="0"/>
        <w:kinsoku/>
        <w:wordWrap/>
        <w:overflowPunct/>
        <w:topLinePunct w:val="0"/>
        <w:bidi w:val="0"/>
        <w:snapToGrid/>
        <w:spacing w:before="0" w:after="0" w:line="360" w:lineRule="auto"/>
        <w:ind w:firstLine="420" w:firstLineChars="200"/>
        <w:rPr>
          <w:rFonts w:ascii="宋体" w:eastAsia="宋体" w:hAnsi="宋体" w:cs="宋体" w:hint="eastAsia"/>
          <w:sz w:val="21"/>
          <w:szCs w:val="21"/>
        </w:rPr>
      </w:pPr>
      <w:r>
        <w:rPr>
          <w:rFonts w:ascii="宋体" w:eastAsia="宋体" w:hAnsi="宋体" w:cs="宋体" w:hint="eastAsia"/>
          <w:color w:val="000000"/>
          <w:sz w:val="21"/>
          <w:szCs w:val="21"/>
        </w:rPr>
        <w:t>2）刷漆后达到表面平整、均匀、色泽一致、无流挂、无起泡、无针孔的效果。</w:t>
      </w:r>
    </w:p>
    <w:p>
      <w:pPr>
        <w:pStyle w:val="a"/>
        <w:keepNext w:val="0"/>
        <w:keepLines w:val="0"/>
        <w:pageBreakBefore w:val="0"/>
        <w:widowControl w:val="0"/>
        <w:kinsoku/>
        <w:wordWrap/>
        <w:overflowPunct/>
        <w:topLinePunct w:val="0"/>
        <w:bidi w:val="0"/>
        <w:snapToGrid/>
        <w:spacing w:before="0" w:after="0" w:line="360" w:lineRule="auto"/>
        <w:rPr>
          <w:rFonts w:ascii="宋体" w:eastAsia="宋体" w:hAnsi="宋体" w:cs="宋体" w:hint="eastAsia"/>
          <w:color w:val="000000"/>
          <w:sz w:val="21"/>
          <w:szCs w:val="21"/>
        </w:rPr>
      </w:pPr>
      <w:r>
        <w:rPr>
          <w:rFonts w:ascii="宋体" w:eastAsia="宋体" w:hAnsi="宋体" w:cs="宋体" w:hint="eastAsia"/>
          <w:sz w:val="21"/>
          <w:szCs w:val="21"/>
        </w:rPr>
        <w:t xml:space="preserve">   </w:t>
      </w:r>
      <w:r>
        <w:rPr>
          <w:rFonts w:ascii="宋体" w:eastAsia="宋体" w:hAnsi="宋体" w:cs="宋体" w:hint="eastAsia"/>
          <w:bCs/>
          <w:spacing w:val="0"/>
          <w:sz w:val="21"/>
          <w:szCs w:val="21"/>
        </w:rPr>
        <w:t>（2）整修检修井</w:t>
      </w:r>
      <w:r>
        <w:rPr>
          <w:rFonts w:ascii="宋体" w:eastAsia="宋体" w:hAnsi="宋体" w:cs="宋体" w:hint="eastAsia"/>
          <w:color w:val="000000"/>
          <w:sz w:val="21"/>
          <w:szCs w:val="21"/>
        </w:rPr>
        <w:t>、</w:t>
      </w:r>
      <w:r>
        <w:rPr>
          <w:rFonts w:ascii="宋体" w:eastAsia="宋体" w:hAnsi="宋体" w:cs="宋体" w:hint="eastAsia"/>
          <w:bCs/>
          <w:spacing w:val="0"/>
          <w:sz w:val="21"/>
          <w:szCs w:val="21"/>
        </w:rPr>
        <w:t>地坪基础</w:t>
      </w:r>
      <w:r>
        <w:rPr>
          <w:rFonts w:ascii="宋体" w:eastAsia="宋体" w:hAnsi="宋体" w:cs="宋体" w:hint="eastAsia"/>
          <w:color w:val="000000"/>
          <w:sz w:val="21"/>
          <w:szCs w:val="21"/>
        </w:rPr>
        <w:t>、围栏等：按照城市照明管理单位的要求或实际需要对设施进行修整翻新。</w:t>
      </w:r>
    </w:p>
    <w:p>
      <w:pPr>
        <w:pStyle w:val="a"/>
        <w:keepNext w:val="0"/>
        <w:keepLines w:val="0"/>
        <w:pageBreakBefore w:val="0"/>
        <w:widowControl w:val="0"/>
        <w:kinsoku/>
        <w:wordWrap/>
        <w:overflowPunct/>
        <w:topLinePunct w:val="0"/>
        <w:bidi w:val="0"/>
        <w:snapToGrid/>
        <w:spacing w:before="0" w:after="0" w:line="360" w:lineRule="auto"/>
        <w:ind w:firstLine="500"/>
        <w:rPr>
          <w:rFonts w:ascii="宋体" w:eastAsia="宋体" w:hAnsi="宋体" w:cs="宋体" w:hint="default"/>
          <w:bCs/>
          <w:spacing w:val="0"/>
          <w:sz w:val="21"/>
          <w:szCs w:val="21"/>
          <w:lang w:val="en-US" w:eastAsia="zh-CN"/>
        </w:rPr>
      </w:pPr>
      <w:r>
        <w:rPr>
          <w:rFonts w:ascii="宋体" w:eastAsia="宋体" w:hAnsi="宋体" w:cs="宋体" w:hint="eastAsia"/>
          <w:bCs/>
          <w:spacing w:val="0"/>
          <w:sz w:val="21"/>
          <w:szCs w:val="21"/>
        </w:rPr>
        <w:t>（3）安全工作：对环网柜SF6气体</w:t>
      </w:r>
      <w:r>
        <w:rPr>
          <w:rFonts w:ascii="宋体" w:eastAsia="宋体" w:hAnsi="宋体" w:cs="宋体" w:hint="eastAsia"/>
          <w:color w:val="000000"/>
          <w:sz w:val="21"/>
          <w:szCs w:val="21"/>
        </w:rPr>
        <w:t>、</w:t>
      </w:r>
      <w:r>
        <w:rPr>
          <w:rFonts w:ascii="宋体" w:eastAsia="宋体" w:hAnsi="宋体" w:cs="宋体" w:hint="eastAsia"/>
          <w:bCs/>
          <w:spacing w:val="0"/>
          <w:sz w:val="21"/>
          <w:szCs w:val="21"/>
        </w:rPr>
        <w:t>操作机构通断性</w:t>
      </w:r>
      <w:r>
        <w:rPr>
          <w:rFonts w:ascii="宋体" w:eastAsia="宋体" w:hAnsi="宋体" w:cs="宋体" w:hint="eastAsia"/>
          <w:color w:val="000000"/>
          <w:sz w:val="21"/>
          <w:szCs w:val="21"/>
        </w:rPr>
        <w:t>、</w:t>
      </w:r>
      <w:r>
        <w:rPr>
          <w:rFonts w:ascii="宋体" w:eastAsia="宋体" w:hAnsi="宋体" w:cs="宋体" w:hint="eastAsia"/>
          <w:bCs/>
          <w:spacing w:val="0"/>
          <w:sz w:val="21"/>
          <w:szCs w:val="21"/>
        </w:rPr>
        <w:t>继保装置正常运行</w:t>
      </w:r>
      <w:r>
        <w:rPr>
          <w:rFonts w:ascii="宋体" w:eastAsia="宋体" w:hAnsi="宋体" w:cs="宋体" w:hint="eastAsia"/>
          <w:color w:val="000000"/>
          <w:sz w:val="21"/>
          <w:szCs w:val="21"/>
        </w:rPr>
        <w:t>、箱变内</w:t>
      </w:r>
      <w:r>
        <w:rPr>
          <w:rFonts w:ascii="宋体" w:eastAsia="宋体" w:hAnsi="宋体" w:cs="宋体" w:hint="eastAsia"/>
          <w:bCs/>
          <w:spacing w:val="0"/>
          <w:sz w:val="21"/>
          <w:szCs w:val="21"/>
        </w:rPr>
        <w:t>灭火器</w:t>
      </w:r>
      <w:r>
        <w:rPr>
          <w:rFonts w:ascii="宋体" w:eastAsia="宋体" w:hAnsi="宋体" w:cs="宋体" w:hint="eastAsia"/>
          <w:color w:val="000000"/>
          <w:sz w:val="21"/>
          <w:szCs w:val="21"/>
        </w:rPr>
        <w:t>、</w:t>
      </w:r>
      <w:r>
        <w:rPr>
          <w:rFonts w:ascii="宋体" w:eastAsia="宋体" w:hAnsi="宋体" w:cs="宋体" w:hint="eastAsia"/>
          <w:bCs/>
          <w:spacing w:val="0"/>
          <w:sz w:val="21"/>
          <w:szCs w:val="21"/>
        </w:rPr>
        <w:t>基础等进行巡查维护，确保设施安全运行</w:t>
      </w:r>
      <w:r>
        <w:rPr>
          <w:rFonts w:ascii="宋体" w:hAnsi="宋体" w:cs="宋体" w:hint="eastAsia"/>
          <w:bCs/>
          <w:spacing w:val="0"/>
          <w:sz w:val="21"/>
          <w:szCs w:val="21"/>
          <w:lang w:eastAsia="zh-CN"/>
        </w:rPr>
        <w:t>；</w:t>
      </w:r>
      <w:r>
        <w:rPr>
          <w:rFonts w:ascii="宋体" w:hAnsi="宋体" w:cs="宋体" w:hint="eastAsia"/>
          <w:bCs/>
          <w:spacing w:val="0"/>
          <w:sz w:val="21"/>
          <w:szCs w:val="21"/>
          <w:lang w:val="en-US" w:eastAsia="zh-CN"/>
        </w:rPr>
        <w:t>排查设施安全隐患并进行消除。</w:t>
      </w:r>
    </w:p>
    <w:p>
      <w:pPr>
        <w:pStyle w:val="a"/>
        <w:keepNext w:val="0"/>
        <w:keepLines w:val="0"/>
        <w:pageBreakBefore w:val="0"/>
        <w:widowControl w:val="0"/>
        <w:kinsoku/>
        <w:wordWrap/>
        <w:overflowPunct/>
        <w:topLinePunct w:val="0"/>
        <w:bidi w:val="0"/>
        <w:snapToGrid/>
        <w:spacing w:before="0" w:after="0" w:line="360" w:lineRule="auto"/>
        <w:ind w:firstLine="500"/>
        <w:rPr>
          <w:rFonts w:ascii="宋体" w:eastAsia="宋体" w:hAnsi="宋体" w:cs="宋体" w:hint="eastAsia"/>
          <w:bCs/>
          <w:spacing w:val="0"/>
          <w:sz w:val="21"/>
          <w:szCs w:val="21"/>
        </w:rPr>
      </w:pPr>
      <w:r>
        <w:rPr>
          <w:rFonts w:ascii="宋体" w:eastAsia="宋体" w:hAnsi="宋体" w:cs="宋体" w:hint="eastAsia"/>
          <w:bCs/>
          <w:spacing w:val="0"/>
          <w:sz w:val="21"/>
          <w:szCs w:val="21"/>
        </w:rPr>
        <w:t>（4）更换标牌：及时更换</w:t>
      </w:r>
      <w:r>
        <w:rPr>
          <w:rFonts w:ascii="宋体" w:eastAsia="宋体" w:hAnsi="宋体" w:cs="宋体" w:hint="eastAsia"/>
          <w:sz w:val="21"/>
          <w:szCs w:val="21"/>
        </w:rPr>
        <w:t>悬挂（补齐）安全、警示标语</w:t>
      </w:r>
      <w:r>
        <w:rPr>
          <w:rFonts w:ascii="宋体" w:eastAsia="宋体" w:hAnsi="宋体" w:cs="宋体" w:hint="eastAsia"/>
          <w:bCs/>
          <w:spacing w:val="0"/>
          <w:sz w:val="21"/>
          <w:szCs w:val="21"/>
        </w:rPr>
        <w:t>。</w:t>
      </w:r>
    </w:p>
    <w:p>
      <w:pPr>
        <w:pStyle w:val="a"/>
        <w:keepNext w:val="0"/>
        <w:keepLines w:val="0"/>
        <w:pageBreakBefore w:val="0"/>
        <w:widowControl w:val="0"/>
        <w:kinsoku/>
        <w:wordWrap/>
        <w:overflowPunct/>
        <w:topLinePunct w:val="0"/>
        <w:bidi w:val="0"/>
        <w:snapToGrid/>
        <w:spacing w:before="0" w:after="0" w:line="360" w:lineRule="auto"/>
        <w:ind w:firstLine="500"/>
        <w:rPr>
          <w:rFonts w:ascii="宋体" w:eastAsia="宋体" w:hAnsi="宋体" w:cs="宋体" w:hint="eastAsia"/>
          <w:bCs/>
          <w:spacing w:val="0"/>
          <w:sz w:val="21"/>
          <w:szCs w:val="21"/>
        </w:rPr>
      </w:pPr>
      <w:r>
        <w:rPr>
          <w:rFonts w:ascii="宋体" w:eastAsia="宋体" w:hAnsi="宋体" w:cs="宋体" w:hint="eastAsia"/>
          <w:bCs/>
          <w:spacing w:val="0"/>
          <w:sz w:val="21"/>
          <w:szCs w:val="21"/>
        </w:rPr>
        <w:t>（5）清洁工作：及时清理箱变内</w:t>
      </w:r>
      <w:r>
        <w:rPr>
          <w:rFonts w:ascii="宋体" w:eastAsia="宋体" w:hAnsi="宋体" w:cs="宋体" w:hint="eastAsia"/>
          <w:sz w:val="21"/>
          <w:szCs w:val="21"/>
        </w:rPr>
        <w:t>、配电房内、围栏内树叶、垃圾等</w:t>
      </w:r>
      <w:r>
        <w:rPr>
          <w:rFonts w:ascii="宋体" w:eastAsia="宋体" w:hAnsi="宋体" w:cs="宋体" w:hint="eastAsia"/>
          <w:bCs/>
          <w:spacing w:val="0"/>
          <w:sz w:val="21"/>
          <w:szCs w:val="21"/>
        </w:rPr>
        <w:t>。</w:t>
      </w:r>
    </w:p>
    <w:p>
      <w:pPr>
        <w:pStyle w:val="a"/>
        <w:keepNext w:val="0"/>
        <w:keepLines w:val="0"/>
        <w:pageBreakBefore w:val="0"/>
        <w:widowControl w:val="0"/>
        <w:kinsoku/>
        <w:wordWrap/>
        <w:overflowPunct/>
        <w:topLinePunct w:val="0"/>
        <w:bidi w:val="0"/>
        <w:snapToGrid/>
        <w:spacing w:before="0" w:after="0" w:line="360" w:lineRule="auto"/>
        <w:ind w:firstLine="500"/>
        <w:rPr>
          <w:rFonts w:ascii="宋体" w:eastAsia="宋体" w:hAnsi="宋体" w:cs="宋体" w:hint="eastAsia"/>
          <w:bCs/>
          <w:spacing w:val="0"/>
          <w:sz w:val="21"/>
          <w:szCs w:val="21"/>
        </w:rPr>
      </w:pPr>
      <w:r>
        <w:rPr>
          <w:rFonts w:ascii="宋体" w:eastAsia="宋体" w:hAnsi="宋体" w:cs="宋体" w:hint="eastAsia"/>
          <w:color w:val="000000"/>
          <w:sz w:val="21"/>
          <w:szCs w:val="21"/>
        </w:rPr>
        <w:t>（6）接地电阻检测：每年完成对箱变接地极进行检测，检测值要求：符合《城市道路照明工程施工及验收规程》（CJJ89-2012）要求，TN-S系统接地电阻连接PE线不大于4欧姆，</w:t>
      </w:r>
      <w:r>
        <w:rPr>
          <w:rFonts w:ascii="宋体" w:eastAsia="宋体" w:hAnsi="宋体" w:cs="宋体" w:hint="eastAsia"/>
          <w:sz w:val="21"/>
          <w:szCs w:val="21"/>
        </w:rPr>
        <w:t>TN-S系统首、尾接地电阻断开PE线不大于10欧姆</w:t>
      </w:r>
      <w:r>
        <w:rPr>
          <w:rFonts w:ascii="宋体" w:eastAsia="宋体" w:hAnsi="宋体" w:cs="宋体" w:hint="eastAsia"/>
          <w:color w:val="000000"/>
          <w:sz w:val="21"/>
          <w:szCs w:val="21"/>
        </w:rPr>
        <w:t>；</w:t>
      </w:r>
      <w:r>
        <w:rPr>
          <w:rFonts w:ascii="宋体" w:eastAsia="宋体" w:hAnsi="宋体" w:cs="宋体" w:hint="eastAsia"/>
          <w:sz w:val="21"/>
          <w:szCs w:val="21"/>
        </w:rPr>
        <w:t>TT系统不大于4欧姆。</w:t>
      </w:r>
      <w:r>
        <w:rPr>
          <w:rFonts w:ascii="宋体" w:eastAsia="宋体" w:hAnsi="宋体" w:cs="宋体" w:hint="eastAsia"/>
          <w:color w:val="000000"/>
          <w:sz w:val="21"/>
          <w:szCs w:val="21"/>
        </w:rPr>
        <w:t>检测不合格的箱变，需补打接地极。</w:t>
      </w:r>
    </w:p>
    <w:p>
      <w:pPr>
        <w:pStyle w:val="a"/>
        <w:keepNext w:val="0"/>
        <w:keepLines w:val="0"/>
        <w:pageBreakBefore w:val="0"/>
        <w:widowControl w:val="0"/>
        <w:kinsoku/>
        <w:wordWrap/>
        <w:overflowPunct/>
        <w:topLinePunct w:val="0"/>
        <w:bidi w:val="0"/>
        <w:snapToGrid/>
        <w:spacing w:before="0" w:after="0" w:line="360" w:lineRule="auto"/>
        <w:ind w:firstLine="500"/>
        <w:rPr>
          <w:rFonts w:ascii="宋体" w:eastAsia="宋体" w:hAnsi="宋体" w:cs="宋体" w:hint="eastAsia"/>
          <w:sz w:val="21"/>
          <w:szCs w:val="21"/>
        </w:rPr>
      </w:pPr>
      <w:r>
        <w:rPr>
          <w:rFonts w:ascii="宋体" w:eastAsia="宋体" w:hAnsi="宋体" w:cs="宋体" w:hint="eastAsia"/>
          <w:color w:val="000000"/>
          <w:sz w:val="21"/>
          <w:szCs w:val="21"/>
        </w:rPr>
        <w:t>（7）被盗设施恢复：</w:t>
      </w:r>
      <w:r>
        <w:rPr>
          <w:rFonts w:ascii="宋体" w:eastAsia="宋体" w:hAnsi="宋体" w:cs="宋体" w:hint="eastAsia"/>
          <w:sz w:val="21"/>
          <w:szCs w:val="21"/>
        </w:rPr>
        <w:t>维护期内需组织专门的人员、车辆进行巡查、防盗工作，避免或减少出现因</w:t>
      </w:r>
      <w:r>
        <w:rPr>
          <w:rFonts w:ascii="宋体" w:eastAsia="宋体" w:hAnsi="宋体" w:cs="宋体" w:hint="eastAsia"/>
          <w:sz w:val="21"/>
          <w:szCs w:val="21"/>
          <w:lang w:val="en-US" w:eastAsia="zh-CN"/>
        </w:rPr>
        <w:t>设施</w:t>
      </w:r>
      <w:r>
        <w:rPr>
          <w:rFonts w:ascii="宋体" w:eastAsia="宋体" w:hAnsi="宋体" w:cs="宋体" w:hint="eastAsia"/>
          <w:sz w:val="21"/>
          <w:szCs w:val="21"/>
        </w:rPr>
        <w:t>被盗而造成的</w:t>
      </w:r>
      <w:r>
        <w:rPr>
          <w:rFonts w:ascii="宋体" w:eastAsia="宋体" w:hAnsi="宋体" w:cs="宋体" w:hint="eastAsia"/>
          <w:sz w:val="21"/>
          <w:szCs w:val="21"/>
          <w:lang w:val="en-US" w:eastAsia="zh-CN"/>
        </w:rPr>
        <w:t>停电</w:t>
      </w:r>
      <w:r>
        <w:rPr>
          <w:rFonts w:ascii="宋体" w:eastAsia="宋体" w:hAnsi="宋体" w:cs="宋体" w:hint="eastAsia"/>
          <w:sz w:val="21"/>
          <w:szCs w:val="21"/>
        </w:rPr>
        <w:t>大面积灭灯情况，出现电缆被盗的情况需及时恢复，产生的工程量及费用不计入维护费用，由中标人自行承担。</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b/>
          <w:bCs/>
          <w:szCs w:val="21"/>
        </w:rPr>
        <w:t>3、维护材料和备品备件</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（1）中标人需有相应的场所存放备用维修材料及回收材料。以下维修材料必须保证有不少于规定数量的库存：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eastAsia="宋体" w:hAnsi="宋体" w:cs="宋体" w:hint="eastAsia"/>
          <w:szCs w:val="21"/>
          <w:lang w:eastAsia="zh-CN"/>
        </w:rPr>
      </w:pPr>
      <w:r>
        <w:rPr>
          <w:rFonts w:ascii="宋体" w:eastAsia="宋体" w:hAnsi="宋体" w:cs="宋体" w:hint="eastAsia"/>
          <w:szCs w:val="21"/>
        </w:rPr>
        <w:t>①</w:t>
      </w:r>
      <w:r>
        <w:rPr>
          <w:rFonts w:ascii="宋体" w:eastAsia="宋体" w:hAnsi="宋体" w:cs="宋体" w:hint="eastAsia"/>
          <w:szCs w:val="21"/>
          <w:lang w:val="en-US" w:eastAsia="zh-CN"/>
        </w:rPr>
        <w:t xml:space="preserve"> </w:t>
      </w:r>
      <w:r>
        <w:rPr>
          <w:rFonts w:ascii="宋体" w:eastAsia="宋体" w:hAnsi="宋体" w:cs="宋体" w:hint="eastAsia"/>
          <w:szCs w:val="21"/>
        </w:rPr>
        <w:t>3*120 mm²高压电缆不少于300m，电缆中间头、终端头各不少于5套</w:t>
      </w:r>
      <w:r>
        <w:rPr>
          <w:rFonts w:ascii="宋体" w:eastAsia="宋体" w:hAnsi="宋体" w:cs="宋体" w:hint="eastAsia"/>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eastAsia="宋体" w:hAnsi="宋体" w:cs="宋体" w:hint="eastAsia"/>
          <w:szCs w:val="21"/>
          <w:lang w:eastAsia="zh-CN"/>
        </w:rPr>
      </w:pPr>
      <w:r>
        <w:rPr>
          <w:rFonts w:ascii="宋体" w:eastAsia="宋体" w:hAnsi="宋体" w:cs="宋体" w:hint="eastAsia"/>
          <w:szCs w:val="21"/>
        </w:rPr>
        <w:t>②</w:t>
      </w:r>
      <w:r>
        <w:rPr>
          <w:rFonts w:ascii="宋体" w:eastAsia="宋体" w:hAnsi="宋体" w:cs="宋体" w:hint="eastAsia"/>
          <w:szCs w:val="21"/>
          <w:lang w:val="en-US" w:eastAsia="zh-CN"/>
        </w:rPr>
        <w:t xml:space="preserve"> </w:t>
      </w:r>
      <w:r>
        <w:rPr>
          <w:rFonts w:ascii="宋体" w:eastAsia="宋体" w:hAnsi="宋体" w:cs="宋体" w:hint="eastAsia"/>
          <w:szCs w:val="21"/>
        </w:rPr>
        <w:t>3单元环网柜1套</w:t>
      </w:r>
      <w:r>
        <w:rPr>
          <w:rFonts w:ascii="宋体" w:eastAsia="宋体" w:hAnsi="宋体" w:cs="宋体" w:hint="eastAsia"/>
          <w:szCs w:val="21"/>
          <w:lang w:eastAsia="zh-CN"/>
        </w:rPr>
        <w:t>；</w:t>
      </w:r>
    </w:p>
    <w:p>
      <w:pPr>
        <w:pStyle w:val="a"/>
        <w:keepNext w:val="0"/>
        <w:keepLines w:val="0"/>
        <w:pageBreakBefore w:val="0"/>
        <w:widowControl w:val="0"/>
        <w:kinsoku/>
        <w:wordWrap/>
        <w:overflowPunct/>
        <w:topLinePunct w:val="0"/>
        <w:autoSpaceDE/>
        <w:autoSpaceDN/>
        <w:bidi w:val="0"/>
        <w:adjustRightInd/>
        <w:snapToGrid/>
        <w:spacing w:before="0" w:after="0" w:line="360" w:lineRule="auto"/>
        <w:ind w:firstLine="420" w:firstLineChars="200"/>
        <w:jc w:val="left"/>
        <w:textAlignment w:val="auto"/>
        <w:rPr>
          <w:rFonts w:ascii="宋体" w:eastAsia="宋体" w:hAnsi="宋体" w:cs="宋体" w:hint="eastAsia"/>
          <w:sz w:val="21"/>
          <w:szCs w:val="21"/>
        </w:rPr>
      </w:pPr>
      <w:r>
        <w:rPr>
          <w:rFonts w:ascii="宋体" w:eastAsia="宋体" w:hAnsi="宋体" w:cs="宋体" w:hint="eastAsia"/>
          <w:sz w:val="21"/>
          <w:szCs w:val="21"/>
        </w:rPr>
        <w:t>③</w:t>
      </w:r>
      <w:r>
        <w:rPr>
          <w:rFonts w:ascii="宋体" w:eastAsia="宋体" w:hAnsi="宋体" w:cs="宋体" w:hint="eastAsia"/>
          <w:sz w:val="21"/>
          <w:szCs w:val="21"/>
          <w:lang w:val="en-US" w:eastAsia="zh-CN"/>
        </w:rPr>
        <w:t xml:space="preserve"> </w:t>
      </w:r>
      <w:r>
        <w:rPr>
          <w:rFonts w:ascii="宋体" w:eastAsia="宋体" w:hAnsi="宋体" w:cs="宋体" w:hint="eastAsia"/>
          <w:sz w:val="21"/>
          <w:szCs w:val="21"/>
        </w:rPr>
        <w:t>100kVA容量变压器1台。</w:t>
      </w:r>
    </w:p>
    <w:p>
      <w:pPr>
        <w:keepNext w:val="0"/>
        <w:keepLines w:val="0"/>
        <w:pageBreakBefore w:val="0"/>
        <w:widowControl w:val="0"/>
        <w:numPr>
          <w:ilvl w:val="0"/>
          <w:numId w:val="0"/>
        </w:numPr>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kern w:val="2"/>
          <w:sz w:val="21"/>
          <w:szCs w:val="21"/>
          <w:lang w:val="en-US" w:eastAsia="zh-CN" w:bidi="ar-SA"/>
        </w:rPr>
        <w:t>（2）</w:t>
      </w:r>
      <w:r>
        <w:rPr>
          <w:rFonts w:ascii="宋体" w:eastAsia="宋体" w:hAnsi="宋体" w:cs="宋体" w:hint="eastAsia"/>
          <w:szCs w:val="21"/>
        </w:rPr>
        <w:t>维护材料和备品备件的配备需满足本项目故障抢修时效要求，除以上列举必须配备的设备材料外，中标人需根据项目实际情况自行配备其他备品备件。</w:t>
      </w:r>
    </w:p>
    <w:p>
      <w:pPr>
        <w:keepNext w:val="0"/>
        <w:keepLines w:val="0"/>
        <w:pageBreakBefore w:val="0"/>
        <w:widowControl w:val="0"/>
        <w:numPr>
          <w:ilvl w:val="0"/>
          <w:numId w:val="0"/>
        </w:numPr>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kern w:val="2"/>
          <w:sz w:val="21"/>
          <w:szCs w:val="21"/>
          <w:lang w:val="en-US" w:eastAsia="zh-CN" w:bidi="ar-SA"/>
        </w:rPr>
        <w:t>（3）</w:t>
      </w:r>
      <w:r>
        <w:rPr>
          <w:rFonts w:ascii="宋体" w:eastAsia="宋体" w:hAnsi="宋体" w:cs="宋体" w:hint="eastAsia"/>
          <w:szCs w:val="21"/>
        </w:rPr>
        <w:t>该场所需受采购人监督，可随时抽查。</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b/>
          <w:bCs/>
          <w:szCs w:val="21"/>
          <w:lang w:eastAsia="zh-CN"/>
        </w:rPr>
      </w:pPr>
      <w:r>
        <w:rPr>
          <w:rFonts w:ascii="宋体" w:eastAsia="宋体" w:hAnsi="宋体" w:cs="宋体" w:hint="eastAsia"/>
          <w:b/>
          <w:bCs/>
          <w:szCs w:val="21"/>
        </w:rPr>
        <w:t>4、设备</w:t>
      </w:r>
      <w:r>
        <w:rPr>
          <w:rFonts w:ascii="宋体" w:hAnsi="宋体" w:cs="宋体" w:hint="eastAsia"/>
          <w:b/>
          <w:bCs/>
          <w:szCs w:val="21"/>
          <w:lang w:eastAsia="zh-CN"/>
        </w:rPr>
        <w:t>日常检测</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按照采购人需求或因更换设备需要，服务期内对高压设施进行检测，检测数据需由具有相关试验资质的单位进行认可并出具报告，提交采购人备案。包括但不限于以下检测：</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（1）电力变压器系统检测；</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（2）高压送配电装置系统检测；</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（3）箱变温控装置检测；</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（4）高压继保装置测试；</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（5）高压电缆检测，包括绝缘测试、接地电阻测试、耐压测试；</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（6）集中补偿功率因数检测；</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（7）环网柜检测。</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设施实验后，确有问题的，由投标人进行更换，更换费用计入项目设施</w:t>
      </w:r>
      <w:r>
        <w:rPr>
          <w:rFonts w:ascii="宋体" w:hAnsi="宋体" w:cs="宋体" w:hint="eastAsia"/>
          <w:szCs w:val="21"/>
          <w:lang w:eastAsia="zh-CN"/>
        </w:rPr>
        <w:t>集中</w:t>
      </w:r>
      <w:r>
        <w:rPr>
          <w:rFonts w:ascii="宋体" w:eastAsia="宋体" w:hAnsi="宋体" w:cs="宋体" w:hint="eastAsia"/>
          <w:szCs w:val="21"/>
        </w:rPr>
        <w:t>更换费。</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b/>
          <w:bCs/>
          <w:szCs w:val="21"/>
        </w:rPr>
        <w:t>5、</w:t>
      </w:r>
      <w:r>
        <w:rPr>
          <w:rFonts w:ascii="宋体" w:eastAsia="宋体" w:hAnsi="宋体" w:cs="宋体" w:hint="eastAsia"/>
          <w:b/>
          <w:bCs/>
          <w:szCs w:val="21"/>
          <w:lang w:val="en-US" w:eastAsia="zh-CN"/>
        </w:rPr>
        <w:t>维护、更新</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lang w:eastAsia="zh-CN"/>
        </w:rPr>
      </w:pPr>
      <w:r>
        <w:rPr>
          <w:rFonts w:ascii="宋体" w:eastAsia="宋体" w:hAnsi="宋体" w:cs="宋体" w:hint="eastAsia"/>
          <w:szCs w:val="21"/>
        </w:rPr>
        <w:t>（1）设施</w:t>
      </w:r>
      <w:r>
        <w:rPr>
          <w:rFonts w:ascii="宋体" w:hAnsi="宋体" w:cs="宋体" w:hint="eastAsia"/>
          <w:szCs w:val="21"/>
          <w:lang w:eastAsia="zh-CN"/>
        </w:rPr>
        <w:t>集中</w:t>
      </w:r>
      <w:r>
        <w:rPr>
          <w:rFonts w:ascii="宋体" w:eastAsia="宋体" w:hAnsi="宋体" w:cs="宋体" w:hint="eastAsia"/>
          <w:szCs w:val="21"/>
        </w:rPr>
        <w:t>更</w:t>
      </w:r>
      <w:r>
        <w:rPr>
          <w:rFonts w:ascii="宋体" w:eastAsia="宋体" w:hAnsi="宋体" w:cs="宋体" w:hint="eastAsia"/>
          <w:szCs w:val="21"/>
          <w:lang w:val="en-US" w:eastAsia="zh-CN"/>
        </w:rPr>
        <w:t>新</w:t>
      </w:r>
      <w:r>
        <w:rPr>
          <w:rFonts w:ascii="宋体" w:eastAsia="宋体" w:hAnsi="宋体" w:cs="宋体" w:hint="eastAsia"/>
          <w:szCs w:val="21"/>
        </w:rPr>
        <w:t>作为本项目合同的一部分，指依据抢修工作需要及招标方更换设施需求，对已发生故障、老化、存在安全隐患或采购人要求新添的设施进行采购安装，更换设施费用计入维护费用。</w:t>
      </w:r>
      <w:r>
        <w:rPr>
          <w:rFonts w:ascii="宋体" w:hAnsi="宋体" w:cs="宋体" w:hint="eastAsia"/>
          <w:szCs w:val="21"/>
          <w:lang w:val="en-US" w:eastAsia="zh-CN"/>
        </w:rPr>
        <w:t>中标人更换箱变时，需同步对低压电器进行更换。</w:t>
      </w:r>
      <w:r>
        <w:rPr>
          <w:rFonts w:ascii="宋体" w:eastAsia="宋体" w:hAnsi="宋体" w:cs="宋体" w:hint="eastAsia"/>
          <w:szCs w:val="21"/>
          <w:lang w:val="en-US" w:eastAsia="zh-CN"/>
        </w:rPr>
        <w:t>中标人</w:t>
      </w:r>
      <w:r>
        <w:rPr>
          <w:rFonts w:ascii="宋体" w:eastAsia="宋体" w:hAnsi="宋体" w:cs="宋体" w:hint="eastAsia"/>
          <w:szCs w:val="21"/>
        </w:rPr>
        <w:t>负责</w:t>
      </w:r>
      <w:r>
        <w:rPr>
          <w:rFonts w:ascii="宋体" w:eastAsia="宋体" w:hAnsi="宋体" w:cs="宋体" w:hint="eastAsia"/>
          <w:szCs w:val="21"/>
          <w:lang w:val="en-US" w:eastAsia="zh-CN"/>
        </w:rPr>
        <w:t>办理相关设施更换所需的</w:t>
      </w:r>
      <w:r>
        <w:rPr>
          <w:rFonts w:ascii="宋体" w:eastAsia="宋体" w:hAnsi="宋体" w:cs="宋体" w:hint="eastAsia"/>
          <w:color w:val="000000"/>
          <w:szCs w:val="21"/>
        </w:rPr>
        <w:t>交警、绿化、供电、</w:t>
      </w:r>
      <w:r>
        <w:rPr>
          <w:rFonts w:ascii="宋体" w:eastAsia="宋体" w:hAnsi="宋体" w:cs="宋体" w:hint="eastAsia"/>
          <w:color w:val="000000"/>
          <w:szCs w:val="21"/>
          <w:lang w:val="en-US" w:eastAsia="zh-CN"/>
        </w:rPr>
        <w:t>交通局</w:t>
      </w:r>
      <w:r>
        <w:rPr>
          <w:rFonts w:ascii="宋体" w:eastAsia="宋体" w:hAnsi="宋体" w:cs="宋体" w:hint="eastAsia"/>
          <w:color w:val="000000"/>
          <w:szCs w:val="21"/>
        </w:rPr>
        <w:t>、</w:t>
      </w:r>
      <w:r>
        <w:rPr>
          <w:rFonts w:ascii="宋体" w:eastAsia="宋体" w:hAnsi="宋体" w:cs="宋体" w:hint="eastAsia"/>
          <w:color w:val="000000"/>
          <w:szCs w:val="21"/>
          <w:lang w:val="en-US" w:eastAsia="zh-CN"/>
        </w:rPr>
        <w:t>燃</w:t>
      </w:r>
      <w:r>
        <w:rPr>
          <w:rFonts w:ascii="宋体" w:eastAsia="宋体" w:hAnsi="宋体" w:cs="宋体" w:hint="eastAsia"/>
          <w:color w:val="000000"/>
          <w:szCs w:val="21"/>
        </w:rPr>
        <w:t>气</w:t>
      </w:r>
      <w:r>
        <w:rPr>
          <w:rFonts w:ascii="宋体" w:eastAsia="宋体" w:hAnsi="宋体" w:cs="宋体" w:hint="eastAsia"/>
          <w:color w:val="000000"/>
          <w:szCs w:val="21"/>
          <w:lang w:eastAsia="zh-CN"/>
        </w:rPr>
        <w:t>、</w:t>
      </w:r>
      <w:r>
        <w:rPr>
          <w:rFonts w:ascii="宋体" w:eastAsia="宋体" w:hAnsi="宋体" w:cs="宋体" w:hint="eastAsia"/>
          <w:color w:val="000000"/>
          <w:szCs w:val="21"/>
          <w:lang w:val="en-US" w:eastAsia="zh-CN"/>
        </w:rPr>
        <w:t>水务</w:t>
      </w:r>
      <w:r>
        <w:rPr>
          <w:rFonts w:ascii="宋体" w:eastAsia="宋体" w:hAnsi="宋体" w:cs="宋体" w:hint="eastAsia"/>
          <w:color w:val="000000"/>
          <w:szCs w:val="21"/>
        </w:rPr>
        <w:t>等有关部门的手续</w:t>
      </w:r>
      <w:r>
        <w:rPr>
          <w:rFonts w:ascii="宋体" w:eastAsia="宋体" w:hAnsi="宋体" w:cs="宋体" w:hint="eastAsia"/>
          <w:color w:val="000000"/>
          <w:szCs w:val="21"/>
          <w:lang w:eastAsia="zh-CN"/>
        </w:rPr>
        <w:t>，</w:t>
      </w:r>
      <w:r>
        <w:rPr>
          <w:rFonts w:ascii="宋体" w:eastAsia="宋体" w:hAnsi="宋体" w:cs="宋体" w:hint="eastAsia"/>
          <w:color w:val="000000"/>
          <w:szCs w:val="21"/>
          <w:lang w:val="en-US" w:eastAsia="zh-CN"/>
        </w:rPr>
        <w:t>所有办理手续所涉及的费用由中标人承担。</w:t>
      </w:r>
      <w:r>
        <w:rPr>
          <w:rFonts w:ascii="宋体" w:eastAsia="宋体" w:hAnsi="宋体" w:cs="宋体" w:hint="eastAsia"/>
          <w:szCs w:val="21"/>
        </w:rPr>
        <w:t>中标人需无条件</w:t>
      </w:r>
      <w:r>
        <w:rPr>
          <w:rFonts w:ascii="宋体" w:eastAsia="宋体" w:hAnsi="宋体" w:cs="宋体" w:hint="eastAsia"/>
          <w:szCs w:val="21"/>
          <w:lang w:val="en-US" w:eastAsia="zh-CN"/>
        </w:rPr>
        <w:t>按照采购人</w:t>
      </w:r>
      <w:r>
        <w:rPr>
          <w:rFonts w:ascii="宋体" w:eastAsia="宋体" w:hAnsi="宋体" w:cs="宋体" w:hint="eastAsia"/>
          <w:szCs w:val="21"/>
        </w:rPr>
        <w:t>需求，</w:t>
      </w:r>
      <w:r>
        <w:rPr>
          <w:rFonts w:ascii="宋体" w:eastAsia="宋体" w:hAnsi="宋体" w:cs="宋体" w:hint="eastAsia"/>
          <w:color w:val="000000"/>
          <w:szCs w:val="21"/>
        </w:rPr>
        <w:t>按需编制预算文件，提交合规的施工图、竣工图并加盖设计出图章报采购方审核后实施，所用材料需为投标品牌或采购方指定造型、品牌。施工完成经采购方验收合格后，按照实际工程量核实计量</w:t>
      </w:r>
      <w:r>
        <w:rPr>
          <w:rFonts w:ascii="宋体" w:eastAsia="宋体" w:hAnsi="宋体" w:cs="宋体" w:hint="eastAsia"/>
          <w:szCs w:val="21"/>
          <w:lang w:eastAsia="zh-CN"/>
        </w:rPr>
        <w:t>；</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（2）设施更换后中标人对新更换的设施承担保修责任，质保期两年。</w:t>
      </w:r>
      <w:r>
        <w:rPr>
          <w:rFonts w:ascii="宋体" w:hAnsi="宋体" w:cs="宋体" w:hint="eastAsia"/>
          <w:szCs w:val="21"/>
          <w:lang w:val="en-US" w:eastAsia="zh-CN"/>
        </w:rPr>
        <w:t>质保期开始时间以设备实际投入使用时间为准，</w:t>
      </w:r>
      <w:r>
        <w:rPr>
          <w:rFonts w:ascii="宋体" w:eastAsia="宋体" w:hAnsi="宋体" w:cs="宋体" w:hint="eastAsia"/>
          <w:sz w:val="21"/>
          <w:szCs w:val="21"/>
          <w:lang w:val="en-US" w:eastAsia="zh-CN"/>
        </w:rPr>
        <w:t>质保期内因设备质量问题发生的设施维修、更换费用不计入维护费。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ascii="宋体" w:eastAsia="宋体" w:hAnsi="宋体" w:cs="宋体" w:hint="default"/>
          <w:szCs w:val="21"/>
          <w:lang w:val="en-US"/>
        </w:rPr>
      </w:pPr>
      <w:r>
        <w:rPr>
          <w:rFonts w:ascii="宋体" w:eastAsia="宋体" w:hAnsi="宋体" w:cs="宋体" w:hint="eastAsia"/>
          <w:szCs w:val="21"/>
        </w:rPr>
        <w:t>（3）设施更换后停用的设备由中标人负责拆除。</w:t>
      </w:r>
      <w:r>
        <w:rPr>
          <w:rFonts w:ascii="Wingdings" w:eastAsia="宋体" w:hAnsi="Wingdings" w:cs="宋体"/>
          <w:szCs w:val="21"/>
        </w:rPr>
        <w:sym w:font="Wingdings" w:char="F081"/>
      </w:r>
      <w:r>
        <w:rPr>
          <w:rFonts w:ascii="宋体" w:eastAsia="宋体" w:hAnsi="宋体" w:cs="宋体" w:hint="eastAsia"/>
          <w:szCs w:val="21"/>
        </w:rPr>
        <w:t>拆除的设备可回收重新利用的，需</w:t>
      </w:r>
      <w:r>
        <w:rPr>
          <w:rFonts w:ascii="宋体" w:eastAsia="宋体" w:hAnsi="宋体" w:cs="宋体" w:hint="eastAsia"/>
          <w:szCs w:val="21"/>
          <w:lang w:val="en-US" w:eastAsia="zh-CN"/>
        </w:rPr>
        <w:t>保护性拆除并</w:t>
      </w:r>
      <w:r>
        <w:rPr>
          <w:rFonts w:ascii="宋体" w:eastAsia="宋体" w:hAnsi="宋体" w:cs="宋体" w:hint="eastAsia"/>
          <w:szCs w:val="21"/>
        </w:rPr>
        <w:t>归还采购人</w:t>
      </w:r>
      <w:r>
        <w:rPr>
          <w:rFonts w:ascii="宋体" w:eastAsia="宋体" w:hAnsi="宋体" w:cs="宋体" w:hint="eastAsia"/>
          <w:szCs w:val="21"/>
          <w:lang w:eastAsia="zh-CN"/>
        </w:rPr>
        <w:t>，</w:t>
      </w:r>
      <w:r>
        <w:rPr>
          <w:rFonts w:ascii="宋体" w:eastAsia="宋体" w:hAnsi="宋体" w:cs="宋体" w:hint="eastAsia"/>
          <w:szCs w:val="21"/>
          <w:lang w:val="en-US" w:eastAsia="zh-CN"/>
        </w:rPr>
        <w:t>采购人可在维护项目内安排使用</w:t>
      </w:r>
      <w:r>
        <w:rPr>
          <w:rFonts w:ascii="宋体" w:eastAsia="宋体" w:hAnsi="宋体" w:cs="宋体" w:hint="eastAsia"/>
          <w:szCs w:val="21"/>
        </w:rPr>
        <w:t>。</w:t>
      </w:r>
      <w:r>
        <w:rPr>
          <w:rFonts w:ascii="Wingdings" w:eastAsia="宋体" w:hAnsi="Wingdings" w:cs="宋体"/>
          <w:szCs w:val="21"/>
        </w:rPr>
        <w:sym w:font="Wingdings" w:char="F082"/>
      </w:r>
      <w:r>
        <w:rPr>
          <w:rFonts w:ascii="宋体" w:eastAsia="宋体" w:hAnsi="宋体" w:cs="宋体" w:hint="eastAsia"/>
          <w:szCs w:val="21"/>
        </w:rPr>
        <w:t>如拆除的设备不可回收重新利用，在中标人和采购人核对数量后，由中标人存放</w:t>
      </w:r>
      <w:r>
        <w:rPr>
          <w:rFonts w:ascii="宋体" w:hAnsi="宋体" w:cs="宋体" w:hint="eastAsia"/>
          <w:szCs w:val="21"/>
          <w:lang w:val="en-US" w:eastAsia="zh-CN"/>
        </w:rPr>
        <w:t>至采购人指定位置</w:t>
      </w:r>
      <w:r>
        <w:rPr>
          <w:rFonts w:ascii="宋体" w:eastAsia="宋体" w:hAnsi="宋体" w:cs="宋体" w:hint="eastAsia"/>
          <w:szCs w:val="21"/>
        </w:rPr>
        <w:t>，</w:t>
      </w:r>
      <w:r>
        <w:rPr>
          <w:rFonts w:ascii="宋体" w:hAnsi="宋体" w:cs="宋体" w:hint="eastAsia"/>
          <w:szCs w:val="21"/>
          <w:lang w:val="en-US" w:eastAsia="zh-CN"/>
        </w:rPr>
        <w:t>后依据采购人上级主管部门意见或政府相关政策进行处置</w:t>
      </w:r>
      <w:r>
        <w:rPr>
          <w:rFonts w:ascii="宋体" w:eastAsia="宋体" w:hAnsi="宋体" w:cs="宋体" w:hint="eastAsia"/>
          <w:szCs w:val="21"/>
        </w:rPr>
        <w:t>。期间若设备因被盗等原因致数量减少，由中标人承担相应损失，</w:t>
      </w:r>
      <w:r>
        <w:rPr>
          <w:rFonts w:ascii="宋体" w:eastAsia="宋体" w:hAnsi="宋体" w:cs="宋体" w:hint="eastAsia"/>
          <w:szCs w:val="21"/>
          <w:lang w:val="en-US" w:eastAsia="zh-CN"/>
        </w:rPr>
        <w:t>采购人</w:t>
      </w:r>
      <w:r>
        <w:rPr>
          <w:rFonts w:ascii="宋体" w:eastAsia="宋体" w:hAnsi="宋体" w:cs="宋体" w:hint="eastAsia"/>
          <w:szCs w:val="21"/>
        </w:rPr>
        <w:t>将委托第三方</w:t>
      </w:r>
      <w:r>
        <w:rPr>
          <w:rFonts w:ascii="宋体" w:eastAsia="宋体" w:hAnsi="宋体" w:cs="宋体" w:hint="eastAsia"/>
          <w:szCs w:val="21"/>
          <w:lang w:val="en-US" w:eastAsia="zh-CN"/>
        </w:rPr>
        <w:t>公司</w:t>
      </w:r>
      <w:r>
        <w:rPr>
          <w:rFonts w:ascii="宋体" w:eastAsia="宋体" w:hAnsi="宋体" w:cs="宋体" w:hint="eastAsia"/>
          <w:szCs w:val="21"/>
        </w:rPr>
        <w:t>评估缺失设施价值，并在维护费中予以扣减。</w:t>
      </w:r>
      <w:r>
        <w:rPr>
          <w:rFonts w:ascii="Wingdings" w:eastAsia="宋体" w:hAnsi="Wingdings" w:cs="宋体"/>
          <w:szCs w:val="21"/>
        </w:rPr>
        <w:sym w:font="Wingdings" w:char="F083"/>
      </w:r>
      <w:r>
        <w:rPr>
          <w:rFonts w:ascii="宋体" w:eastAsia="宋体" w:hAnsi="宋体" w:cs="宋体" w:hint="eastAsia"/>
          <w:szCs w:val="21"/>
          <w:lang w:val="en-US" w:eastAsia="zh-CN"/>
        </w:rPr>
        <w:t>如10KV电缆因直埋或电缆沟内不易回收等原因无法回收的，经采购人签字确认后可不予回收，除此以外情况造成设施未回收的，由采购人委托第三方公司评估未回收设施价值，在维护费用内予以扣减设施残值。</w:t>
      </w:r>
    </w:p>
    <w:p>
      <w:pPr>
        <w:pStyle w:val="a"/>
        <w:keepNext w:val="0"/>
        <w:keepLines w:val="0"/>
        <w:pageBreakBefore w:val="0"/>
        <w:widowControl w:val="0"/>
        <w:kinsoku/>
        <w:wordWrap/>
        <w:overflowPunct/>
        <w:topLinePunct w:val="0"/>
        <w:bidi w:val="0"/>
        <w:snapToGrid/>
        <w:spacing w:before="0" w:after="0" w:line="360" w:lineRule="auto"/>
        <w:ind w:firstLine="560"/>
        <w:rPr>
          <w:rFonts w:ascii="宋体" w:eastAsia="宋体" w:hAnsi="宋体" w:cs="宋体" w:hint="eastAsia"/>
          <w:b/>
          <w:bCs/>
          <w:sz w:val="21"/>
          <w:szCs w:val="21"/>
        </w:rPr>
      </w:pPr>
      <w:r>
        <w:rPr>
          <w:rFonts w:ascii="宋体" w:eastAsia="宋体" w:hAnsi="宋体" w:cs="宋体" w:hint="eastAsia"/>
          <w:b/>
          <w:bCs/>
          <w:sz w:val="21"/>
          <w:szCs w:val="21"/>
        </w:rPr>
        <w:t>6、供电保障</w:t>
      </w:r>
    </w:p>
    <w:p>
      <w:pPr>
        <w:pStyle w:val="a"/>
        <w:keepNext w:val="0"/>
        <w:keepLines w:val="0"/>
        <w:pageBreakBefore w:val="0"/>
        <w:widowControl w:val="0"/>
        <w:kinsoku/>
        <w:wordWrap/>
        <w:overflowPunct/>
        <w:topLinePunct w:val="0"/>
        <w:autoSpaceDE/>
        <w:autoSpaceDN/>
        <w:bidi w:val="0"/>
        <w:adjustRightInd/>
        <w:snapToGrid/>
        <w:spacing w:before="0" w:after="0" w:line="360" w:lineRule="auto"/>
        <w:ind w:firstLine="562"/>
        <w:textAlignment w:val="auto"/>
        <w:outlineLvl w:val="9"/>
        <w:rPr>
          <w:rFonts w:ascii="宋体" w:eastAsia="宋体" w:hAnsi="宋体" w:cs="宋体" w:hint="eastAsia"/>
          <w:sz w:val="21"/>
          <w:szCs w:val="21"/>
        </w:rPr>
      </w:pPr>
      <w:r>
        <w:rPr>
          <w:rFonts w:ascii="宋体" w:eastAsia="宋体" w:hAnsi="宋体" w:cs="宋体" w:hint="eastAsia"/>
          <w:sz w:val="21"/>
          <w:szCs w:val="21"/>
        </w:rPr>
        <w:t>编制应急保障方案，在高压设施停电影响路灯正常亮灯或重大节日需要</w:t>
      </w:r>
      <w:r>
        <w:rPr>
          <w:rFonts w:ascii="宋体" w:eastAsia="宋体" w:hAnsi="宋体" w:cs="宋体" w:hint="eastAsia"/>
          <w:sz w:val="21"/>
          <w:szCs w:val="21"/>
          <w:lang w:val="en-US" w:eastAsia="zh-CN"/>
        </w:rPr>
        <w:t>保障</w:t>
      </w:r>
      <w:r>
        <w:rPr>
          <w:rFonts w:ascii="宋体" w:eastAsia="宋体" w:hAnsi="宋体" w:cs="宋体" w:hint="eastAsia"/>
          <w:sz w:val="21"/>
          <w:szCs w:val="21"/>
        </w:rPr>
        <w:t>等情况时，</w:t>
      </w:r>
      <w:r>
        <w:rPr>
          <w:rFonts w:ascii="宋体" w:eastAsia="宋体" w:hAnsi="宋体" w:cs="宋体" w:hint="eastAsia"/>
          <w:sz w:val="21"/>
          <w:szCs w:val="21"/>
          <w:lang w:val="en-US" w:eastAsia="zh-CN"/>
        </w:rPr>
        <w:t>按照采购人</w:t>
      </w:r>
      <w:r>
        <w:rPr>
          <w:rFonts w:ascii="宋体" w:eastAsia="宋体" w:hAnsi="宋体" w:cs="宋体" w:hint="eastAsia"/>
          <w:sz w:val="21"/>
          <w:szCs w:val="21"/>
        </w:rPr>
        <w:t>要求中标人将</w:t>
      </w:r>
      <w:r>
        <w:rPr>
          <w:rFonts w:ascii="宋体" w:eastAsia="宋体" w:hAnsi="宋体" w:cs="宋体" w:hint="eastAsia"/>
          <w:sz w:val="21"/>
          <w:szCs w:val="21"/>
        </w:rPr>
        <w:t>调遣应急发电车进行供电保障。</w:t>
      </w:r>
      <w:r>
        <w:rPr>
          <w:rFonts w:ascii="宋体" w:eastAsia="宋体" w:hAnsi="宋体" w:cs="宋体" w:hint="eastAsia"/>
          <w:sz w:val="21"/>
          <w:szCs w:val="21"/>
          <w:lang w:val="en-US" w:eastAsia="zh-CN"/>
        </w:rPr>
        <w:t>中标人需在签订维护合同前将</w:t>
      </w:r>
      <w:r>
        <w:rPr>
          <w:rFonts w:ascii="宋体" w:eastAsia="宋体" w:hAnsi="宋体" w:cs="宋体" w:hint="eastAsia"/>
          <w:sz w:val="21"/>
          <w:szCs w:val="21"/>
        </w:rPr>
        <w:t>自有发电车权属资料或</w:t>
      </w:r>
      <w:r>
        <w:rPr>
          <w:rFonts w:ascii="宋体" w:eastAsia="宋体" w:hAnsi="宋体" w:cs="宋体" w:hint="eastAsia"/>
          <w:sz w:val="21"/>
          <w:szCs w:val="21"/>
          <w:lang w:val="en-US" w:eastAsia="zh-CN"/>
        </w:rPr>
        <w:t>与发</w:t>
      </w:r>
      <w:r>
        <w:rPr>
          <w:rFonts w:ascii="宋体" w:eastAsia="宋体" w:hAnsi="宋体" w:cs="宋体" w:hint="eastAsia"/>
          <w:sz w:val="21"/>
          <w:szCs w:val="21"/>
        </w:rPr>
        <w:t>电车厂家签订的租赁合同提交</w:t>
      </w:r>
      <w:r>
        <w:rPr>
          <w:rFonts w:ascii="宋体" w:eastAsia="宋体" w:hAnsi="宋体" w:cs="宋体" w:hint="eastAsia"/>
          <w:sz w:val="21"/>
          <w:szCs w:val="21"/>
          <w:lang w:val="en-US" w:eastAsia="zh-CN"/>
        </w:rPr>
        <w:t>采购人</w:t>
      </w:r>
      <w:r>
        <w:rPr>
          <w:rFonts w:ascii="宋体" w:eastAsia="宋体" w:hAnsi="宋体" w:cs="宋体" w:hint="eastAsia"/>
          <w:sz w:val="21"/>
          <w:szCs w:val="21"/>
        </w:rPr>
        <w:t>备案，能按采购人要求</w:t>
      </w:r>
      <w:r>
        <w:rPr>
          <w:rFonts w:ascii="宋体" w:hAnsi="宋体" w:cs="宋体" w:hint="eastAsia"/>
          <w:sz w:val="21"/>
          <w:szCs w:val="21"/>
          <w:lang w:val="en-US" w:eastAsia="zh-CN"/>
        </w:rPr>
        <w:t>2</w:t>
      </w:r>
      <w:r>
        <w:rPr>
          <w:rFonts w:ascii="宋体" w:eastAsia="宋体" w:hAnsi="宋体" w:cs="宋体" w:hint="eastAsia"/>
          <w:sz w:val="21"/>
          <w:szCs w:val="21"/>
        </w:rPr>
        <w:t>小时内保障应急发电车</w:t>
      </w:r>
      <w:r>
        <w:rPr>
          <w:rFonts w:ascii="宋体" w:eastAsia="宋体" w:hAnsi="宋体" w:cs="宋体" w:hint="eastAsia"/>
          <w:sz w:val="21"/>
          <w:szCs w:val="21"/>
          <w:lang w:val="en-US" w:eastAsia="zh-CN"/>
        </w:rPr>
        <w:t>到达</w:t>
      </w:r>
      <w:r>
        <w:rPr>
          <w:rFonts w:ascii="宋体" w:eastAsia="宋体" w:hAnsi="宋体" w:cs="宋体" w:hint="eastAsia"/>
          <w:sz w:val="21"/>
          <w:szCs w:val="21"/>
        </w:rPr>
        <w:t>发电现场，到现场后半小时完成接线发电。</w:t>
      </w:r>
    </w:p>
    <w:p>
      <w:pPr>
        <w:pStyle w:val="a"/>
        <w:keepNext w:val="0"/>
        <w:keepLines w:val="0"/>
        <w:pageBreakBefore w:val="0"/>
        <w:widowControl w:val="0"/>
        <w:kinsoku/>
        <w:wordWrap/>
        <w:overflowPunct/>
        <w:topLinePunct w:val="0"/>
        <w:bidi w:val="0"/>
        <w:snapToGrid/>
        <w:spacing w:before="0" w:after="0" w:line="360" w:lineRule="auto"/>
        <w:ind w:firstLine="420" w:firstLineChars="200"/>
        <w:rPr>
          <w:rFonts w:ascii="宋体" w:eastAsia="宋体" w:hAnsi="宋体" w:cs="宋体" w:hint="eastAsia"/>
          <w:b/>
          <w:sz w:val="21"/>
          <w:szCs w:val="21"/>
        </w:rPr>
      </w:pPr>
      <w:r>
        <w:rPr>
          <w:rFonts w:ascii="宋体" w:eastAsia="宋体" w:hAnsi="宋体" w:cs="宋体" w:hint="eastAsia"/>
          <w:b/>
          <w:color w:val="000000"/>
          <w:sz w:val="21"/>
          <w:szCs w:val="21"/>
        </w:rPr>
        <w:t>7、维</w:t>
      </w:r>
      <w:r>
        <w:rPr>
          <w:rFonts w:ascii="宋体" w:eastAsia="宋体" w:hAnsi="宋体" w:cs="宋体" w:hint="eastAsia"/>
          <w:b/>
          <w:sz w:val="21"/>
          <w:szCs w:val="21"/>
        </w:rPr>
        <w:t>护档案资料</w:t>
      </w:r>
    </w:p>
    <w:p>
      <w:pPr>
        <w:pStyle w:val="a"/>
        <w:keepNext w:val="0"/>
        <w:keepLines w:val="0"/>
        <w:pageBreakBefore w:val="0"/>
        <w:widowControl w:val="0"/>
        <w:kinsoku/>
        <w:wordWrap/>
        <w:overflowPunct/>
        <w:topLinePunct w:val="0"/>
        <w:bidi w:val="0"/>
        <w:snapToGrid/>
        <w:spacing w:before="0" w:after="0" w:line="360" w:lineRule="auto"/>
        <w:ind w:firstLine="420" w:firstLineChars="200"/>
        <w:rPr>
          <w:rFonts w:ascii="宋体" w:eastAsia="宋体" w:hAnsi="宋体" w:cs="宋体" w:hint="eastAsia"/>
          <w:sz w:val="21"/>
          <w:szCs w:val="21"/>
        </w:rPr>
      </w:pPr>
      <w:r>
        <w:rPr>
          <w:rFonts w:ascii="宋体" w:eastAsia="宋体" w:hAnsi="宋体" w:cs="宋体" w:hint="eastAsia"/>
          <w:sz w:val="21"/>
          <w:szCs w:val="21"/>
        </w:rPr>
        <w:t>中标人需使用采购人的精细化系统（办公协作平台），对设备的运行、维护、更换情况及时记录,对作业现场情况拍照、记录，准确填写各项维护台账。</w:t>
      </w:r>
      <w:r>
        <w:rPr>
          <w:rFonts w:ascii="宋体" w:eastAsia="宋体" w:hAnsi="宋体" w:cs="宋体" w:hint="eastAsia"/>
          <w:bCs/>
          <w:sz w:val="21"/>
          <w:szCs w:val="21"/>
        </w:rPr>
        <w:t xml:space="preserve"> </w:t>
      </w:r>
      <w:r>
        <w:rPr>
          <w:rFonts w:ascii="宋体" w:eastAsia="宋体" w:hAnsi="宋体" w:cs="宋体" w:hint="eastAsia"/>
          <w:sz w:val="21"/>
          <w:szCs w:val="21"/>
        </w:rPr>
        <w:t>中标人应建立</w:t>
      </w:r>
      <w:r>
        <w:rPr>
          <w:rFonts w:ascii="宋体" w:hAnsi="宋体" w:cs="宋体" w:hint="eastAsia"/>
          <w:sz w:val="21"/>
          <w:szCs w:val="21"/>
          <w:lang w:val="en-US" w:eastAsia="zh-CN"/>
        </w:rPr>
        <w:t>高压</w:t>
      </w:r>
      <w:r>
        <w:rPr>
          <w:rFonts w:ascii="宋体" w:eastAsia="宋体" w:hAnsi="宋体" w:cs="宋体" w:hint="eastAsia"/>
          <w:sz w:val="21"/>
          <w:szCs w:val="21"/>
        </w:rPr>
        <w:t>设施运维各类管理台账，台账种类应包括：基础台帐、运维台帐、管理台账、考核台账、安全生产台帐等。所有台账制作整齐，随时可查。</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color w:val="000000"/>
          <w:szCs w:val="21"/>
        </w:rPr>
      </w:pPr>
      <w:r>
        <w:rPr>
          <w:rFonts w:ascii="宋体" w:eastAsia="宋体" w:hAnsi="宋体" w:cs="宋体" w:hint="eastAsia"/>
          <w:color w:val="000000"/>
          <w:szCs w:val="21"/>
        </w:rPr>
        <w:t>（1）基础台账应包括高压电缆线路类型、长度，高压设施编号及参数等，相关设备资料和各类设施变更时应及时更新台帐记录；</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color w:val="000000"/>
          <w:szCs w:val="21"/>
        </w:rPr>
      </w:pPr>
      <w:r>
        <w:rPr>
          <w:rFonts w:ascii="宋体" w:eastAsia="宋体" w:hAnsi="宋体" w:cs="宋体" w:hint="eastAsia"/>
          <w:color w:val="000000"/>
          <w:szCs w:val="21"/>
        </w:rPr>
        <w:t>（2）运维台帐应包括高压设施巡查、巡修台账，专项巡检台账，故障及修复情况台账，应急修复处理情况记录，投诉处理记录等；</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color w:val="000000"/>
          <w:szCs w:val="21"/>
        </w:rPr>
      </w:pPr>
      <w:r>
        <w:rPr>
          <w:rFonts w:ascii="宋体" w:eastAsia="宋体" w:hAnsi="宋体" w:cs="宋体" w:hint="eastAsia"/>
          <w:color w:val="000000"/>
          <w:szCs w:val="21"/>
        </w:rPr>
        <w:t>（3）管理台账应包括人员台账，机械设备台账，检测仪器、劳保用品保养和检测记录，各类安全管理制度、应急预案，月度工作计划和总结等；</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color w:val="000000"/>
          <w:szCs w:val="21"/>
        </w:rPr>
      </w:pPr>
      <w:r>
        <w:rPr>
          <w:rFonts w:ascii="宋体" w:eastAsia="宋体" w:hAnsi="宋体" w:cs="宋体" w:hint="eastAsia"/>
          <w:color w:val="000000"/>
          <w:szCs w:val="21"/>
        </w:rPr>
        <w:t>（4）考核台账应包括设施完好率检查台账，高压设施运行状况检测台账等；</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hAnsi="宋体" w:cs="宋体" w:hint="eastAsia"/>
          <w:b/>
          <w:color w:val="000000"/>
          <w:sz w:val="21"/>
          <w:szCs w:val="21"/>
          <w:lang w:val="en-US" w:eastAsia="zh-CN"/>
        </w:rPr>
      </w:pPr>
      <w:r>
        <w:rPr>
          <w:rFonts w:ascii="宋体" w:hAnsi="宋体" w:cs="宋体" w:hint="eastAsia"/>
          <w:b/>
          <w:color w:val="000000"/>
          <w:sz w:val="21"/>
          <w:szCs w:val="21"/>
          <w:lang w:val="en-US" w:eastAsia="zh-CN"/>
        </w:rPr>
        <w:t>8</w:t>
      </w:r>
      <w:r>
        <w:rPr>
          <w:rFonts w:ascii="宋体" w:eastAsia="宋体" w:hAnsi="宋体" w:cs="宋体" w:hint="eastAsia"/>
          <w:b/>
          <w:color w:val="000000"/>
          <w:sz w:val="21"/>
          <w:szCs w:val="21"/>
        </w:rPr>
        <w:t>、</w:t>
      </w:r>
      <w:r>
        <w:rPr>
          <w:rFonts w:ascii="宋体" w:hAnsi="宋体" w:cs="宋体" w:hint="eastAsia"/>
          <w:b/>
          <w:color w:val="000000"/>
          <w:sz w:val="21"/>
          <w:szCs w:val="21"/>
          <w:lang w:val="en-US" w:eastAsia="zh-CN"/>
        </w:rPr>
        <w:t>安全生产管理</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color w:val="000000"/>
          <w:szCs w:val="21"/>
        </w:rPr>
        <w:t>安全生产台帐分8章、23项，</w:t>
      </w:r>
      <w:r>
        <w:rPr>
          <w:rFonts w:ascii="宋体" w:eastAsia="宋体" w:hAnsi="宋体" w:cs="宋体" w:hint="eastAsia"/>
          <w:szCs w:val="21"/>
        </w:rPr>
        <w:t>主要涵盖项目情况、安全机构设置、安全标准化建设、双重预防机制、应急管理、安全投入等，具体如下：</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1）项目基本情况</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①有相关生产经营资质证书，如工商营业执照、法人代码证等，且在有效期内；</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②项目合同和安全责任协议齐全，及时更新项目人员情况，包含但不限于岗位资质证书、特种作业证（需定期复审）、社保缴纳等；</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③项目购买保险，如团体险、安全责任险等。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eastAsia="宋体" w:hAnsi="宋体" w:cs="宋体" w:hint="eastAsia"/>
          <w:szCs w:val="21"/>
        </w:rPr>
      </w:pPr>
      <w:r>
        <w:rPr>
          <w:rFonts w:ascii="宋体" w:eastAsia="宋体" w:hAnsi="宋体" w:cs="宋体" w:hint="eastAsia"/>
          <w:szCs w:val="21"/>
        </w:rPr>
        <w:t>2）安全生产机构和管理制度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eastAsia="宋体" w:hAnsi="宋体" w:cs="宋体" w:hint="eastAsia"/>
          <w:szCs w:val="21"/>
        </w:rPr>
      </w:pPr>
      <w:r>
        <w:rPr>
          <w:rFonts w:ascii="宋体" w:eastAsia="宋体" w:hAnsi="宋体" w:cs="宋体" w:hint="eastAsia"/>
          <w:szCs w:val="21"/>
        </w:rPr>
        <w:t>④设置安全生产管理部门</w:t>
      </w:r>
      <w:r>
        <w:rPr>
          <w:rFonts w:ascii="宋体" w:eastAsia="宋体" w:hAnsi="宋体" w:cs="宋体" w:hint="eastAsia"/>
          <w:bCs/>
          <w:sz w:val="21"/>
          <w:szCs w:val="21"/>
          <w:lang w:val="en-US" w:eastAsia="zh-CN"/>
        </w:rPr>
        <w:t>或配备专（兼）职安全生产管理人员、注册安全工程师</w:t>
      </w:r>
      <w:r>
        <w:rPr>
          <w:rFonts w:ascii="宋体" w:eastAsia="宋体" w:hAnsi="宋体" w:cs="宋体" w:hint="eastAsia"/>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eastAsia="宋体" w:hAnsi="宋体" w:cs="宋体" w:hint="eastAsia"/>
          <w:szCs w:val="21"/>
        </w:rPr>
      </w:pPr>
      <w:r>
        <w:rPr>
          <w:rFonts w:ascii="宋体" w:eastAsia="宋体" w:hAnsi="宋体" w:cs="宋体" w:hint="eastAsia"/>
          <w:szCs w:val="21"/>
        </w:rPr>
        <w:t>⑤建立安全责任制，签订安全协议、安全生产目标责任书（承诺书）、岗位安全责任书、全员安全责任书等；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eastAsia="宋体" w:hAnsi="宋体" w:cs="宋体" w:hint="eastAsia"/>
          <w:szCs w:val="21"/>
        </w:rPr>
      </w:pPr>
      <w:r>
        <w:rPr>
          <w:rFonts w:ascii="宋体" w:eastAsia="宋体" w:hAnsi="宋体" w:cs="宋体" w:hint="eastAsia"/>
          <w:szCs w:val="21"/>
        </w:rPr>
        <w:t>⑥加强安全生产标准化建设，组织制定并实施本单位安全生产规章制度和操作规程，如安全生产管理规定、电工操作规范、特种设备操作规范、高处作业操作规范等。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eastAsia="宋体" w:hAnsi="宋体" w:cs="宋体" w:hint="eastAsia"/>
          <w:szCs w:val="21"/>
        </w:rPr>
      </w:pPr>
      <w:r>
        <w:rPr>
          <w:rFonts w:ascii="宋体" w:eastAsia="宋体" w:hAnsi="宋体" w:cs="宋体" w:hint="eastAsia"/>
          <w:szCs w:val="21"/>
        </w:rPr>
        <w:t>3）安全教育培训</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⑦按照规定对从业人员、被派遣劳动者、实习生进行安全生产教育和培训，如三级教育、岗前培训、班前培训</w:t>
      </w:r>
      <w:r>
        <w:rPr>
          <w:rFonts w:ascii="宋体" w:hAnsi="宋体" w:cs="宋体" w:hint="eastAsia"/>
          <w:szCs w:val="21"/>
          <w:lang w:val="en-US" w:eastAsia="zh-CN"/>
        </w:rPr>
        <w:t>及特种作业培训</w:t>
      </w:r>
      <w:r>
        <w:rPr>
          <w:rFonts w:ascii="宋体" w:eastAsia="宋体" w:hAnsi="宋体" w:cs="宋体" w:hint="eastAsia"/>
          <w:szCs w:val="21"/>
        </w:rPr>
        <w:t>等；</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⑧培训记录内容齐全，培训内容与培训照片相符，且有参培人员签名。</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4）风险预防与管控</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⑨建立安全风险分级管控和事故隐患排查治理双重预机制;</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⑩开展安全风险危害辨识和评估，确定风险等级，并按照安全风险分类分级方法采取相应管控措施；</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⑪建立重大事故隐患排查治理报告制度，制定重大危险源应急处置预案（方案），对重大危险源进行登记建档，对重大危险源进行定期检测、评估、监控；</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⑫开展项目前需告知相关人员风险情况和应急处置措施。</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5）安全检查和隐患整治</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⑬根据安全检查计划和合约要求，对设施设备进行经常性检查和检测；按照谁检查谁负责的原则，检查及处理情况如实详细记录在案，并签字确认；</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⑭检查发现的问题及自查过程中发现的问题，需限期治理，并将治理情况详细记录，落实隐患闭环管理。</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6）应急管理</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⑮结合本单位（本项目）的安全生产实际情况及危险性分析情况，制定本单位（或本项目）的生产安全事故应急救援预案和现场处置方案；</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⑯预案编制符合法律、法规、规章和标准的规定，明确应急组织和人员的职责，明确具体的事故预防措施和应急程序，并与应急能力相适应；预案要素齐全完整，预案附件信息准确；</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⑰建立应急救援队伍人员，配备相应的应急物资；</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⑱开展应急预案和队伍组建培训、应急演练等活动，其中要求每年至少组织一次综合性应急预案演练或者专项应急预案演练，每半年至少一次现场处置方案演练；</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⑲如实记录应急演练情况，并进行演练效果评估；填写应急预案演练登记表并留存相关资料备案；</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⑳落实节假日及极端天气的应急值班制度，记录值班情况。</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7）安全投入与物质保障</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fldChar w:fldCharType="begin"/>
      </w:r>
      <w:r>
        <w:rPr>
          <w:rFonts w:ascii="宋体" w:eastAsia="宋体" w:hAnsi="宋体" w:cs="宋体" w:hint="eastAsia"/>
          <w:szCs w:val="21"/>
        </w:rPr>
        <w:instrText xml:space="preserve"> EQ \o\ac(</w:instrText>
      </w:r>
      <w:r>
        <w:rPr>
          <w:rFonts w:ascii="宋体" w:eastAsia="宋体" w:hAnsi="宋体" w:cs="宋体" w:hint="eastAsia"/>
          <w:position w:val="-4"/>
          <w:sz w:val="31"/>
          <w:szCs w:val="21"/>
        </w:rPr>
        <w:instrText>○</w:instrText>
      </w:r>
      <w:r>
        <w:rPr>
          <w:rFonts w:ascii="宋体" w:eastAsia="宋体" w:hAnsi="宋体" w:cs="宋体" w:hint="eastAsia"/>
          <w:szCs w:val="21"/>
        </w:rPr>
        <w:instrText>,21)</w:instrText>
      </w:r>
      <w:r>
        <w:rPr>
          <w:rFonts w:ascii="宋体" w:eastAsia="宋体" w:hAnsi="宋体" w:cs="宋体" w:hint="eastAsia"/>
          <w:szCs w:val="21"/>
        </w:rPr>
        <w:fldChar w:fldCharType="separate"/>
      </w:r>
      <w:r>
        <w:rPr>
          <w:rFonts w:ascii="宋体" w:eastAsia="宋体" w:hAnsi="宋体" w:cs="宋体" w:hint="eastAsia"/>
          <w:szCs w:val="21"/>
        </w:rPr>
        <w:fldChar w:fldCharType="end"/>
      </w:r>
      <w:r>
        <w:rPr>
          <w:rFonts w:ascii="宋体" w:eastAsia="宋体" w:hAnsi="宋体" w:cs="宋体" w:hint="eastAsia"/>
          <w:szCs w:val="21"/>
        </w:rPr>
        <w:t>保障生产安全所需的资金投入，制定年度安全生产投入计划、资金预算表等，详细记录安全生产经费使用情况；</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fldChar w:fldCharType="begin"/>
      </w:r>
      <w:r>
        <w:rPr>
          <w:rFonts w:ascii="宋体" w:eastAsia="宋体" w:hAnsi="宋体" w:cs="宋体" w:hint="eastAsia"/>
          <w:szCs w:val="21"/>
        </w:rPr>
        <w:instrText xml:space="preserve"> EQ \o\ac(</w:instrText>
      </w:r>
      <w:r>
        <w:rPr>
          <w:rFonts w:ascii="宋体" w:eastAsia="宋体" w:hAnsi="宋体" w:cs="宋体" w:hint="eastAsia"/>
          <w:position w:val="-4"/>
          <w:sz w:val="31"/>
          <w:szCs w:val="21"/>
        </w:rPr>
        <w:instrText>○</w:instrText>
      </w:r>
      <w:r>
        <w:rPr>
          <w:rFonts w:ascii="宋体" w:eastAsia="宋体" w:hAnsi="宋体" w:cs="宋体" w:hint="eastAsia"/>
          <w:szCs w:val="21"/>
        </w:rPr>
        <w:instrText>,22)</w:instrText>
      </w:r>
      <w:r>
        <w:rPr>
          <w:rFonts w:ascii="宋体" w:eastAsia="宋体" w:hAnsi="宋体" w:cs="宋体" w:hint="eastAsia"/>
          <w:szCs w:val="21"/>
        </w:rPr>
        <w:fldChar w:fldCharType="separate"/>
      </w:r>
      <w:r>
        <w:rPr>
          <w:rFonts w:ascii="宋体" w:eastAsia="宋体" w:hAnsi="宋体" w:cs="宋体" w:hint="eastAsia"/>
          <w:szCs w:val="21"/>
        </w:rPr>
        <w:fldChar w:fldCharType="end"/>
      </w:r>
      <w:r>
        <w:rPr>
          <w:rFonts w:ascii="宋体" w:eastAsia="宋体" w:hAnsi="宋体" w:cs="宋体" w:hint="eastAsia"/>
          <w:szCs w:val="21"/>
        </w:rPr>
        <w:t>为从业人员提供符合国家标准或者行业标准的劳动防护用品。</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8）安全专项活动</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fldChar w:fldCharType="begin"/>
      </w:r>
      <w:r>
        <w:rPr>
          <w:rFonts w:ascii="宋体" w:eastAsia="宋体" w:hAnsi="宋体" w:cs="宋体" w:hint="eastAsia"/>
          <w:szCs w:val="21"/>
        </w:rPr>
        <w:instrText xml:space="preserve"> EQ \o\ac(</w:instrText>
      </w:r>
      <w:r>
        <w:rPr>
          <w:rFonts w:ascii="宋体" w:eastAsia="宋体" w:hAnsi="宋体" w:cs="宋体" w:hint="eastAsia"/>
          <w:position w:val="-4"/>
          <w:sz w:val="31"/>
          <w:szCs w:val="21"/>
        </w:rPr>
        <w:instrText>○</w:instrText>
      </w:r>
      <w:r>
        <w:rPr>
          <w:rFonts w:ascii="宋体" w:eastAsia="宋体" w:hAnsi="宋体" w:cs="宋体" w:hint="eastAsia"/>
          <w:szCs w:val="21"/>
        </w:rPr>
        <w:instrText>,23)</w:instrText>
      </w:r>
      <w:r>
        <w:rPr>
          <w:rFonts w:ascii="宋体" w:eastAsia="宋体" w:hAnsi="宋体" w:cs="宋体" w:hint="eastAsia"/>
          <w:szCs w:val="21"/>
        </w:rPr>
        <w:fldChar w:fldCharType="separate"/>
      </w:r>
      <w:r>
        <w:rPr>
          <w:rFonts w:ascii="宋体" w:eastAsia="宋体" w:hAnsi="宋体" w:cs="宋体" w:hint="eastAsia"/>
          <w:szCs w:val="21"/>
        </w:rPr>
        <w:fldChar w:fldCharType="end"/>
      </w:r>
      <w:r>
        <w:rPr>
          <w:rFonts w:ascii="宋体" w:eastAsia="宋体" w:hAnsi="宋体" w:cs="宋体" w:hint="eastAsia"/>
          <w:szCs w:val="21"/>
        </w:rPr>
        <w:t>按照国家、省、市、局有关要求开展安全生产专项活动，如“安全生产月”、安全专项整治三年行动、“一线三排”、“安全生产大检查”等。</w:t>
      </w:r>
    </w:p>
    <w:p>
      <w:pPr>
        <w:keepNext w:val="0"/>
        <w:keepLines w:val="0"/>
        <w:pageBreakBefore w:val="0"/>
        <w:widowControl w:val="0"/>
        <w:kinsoku/>
        <w:wordWrap/>
        <w:overflowPunct/>
        <w:topLinePunct w:val="0"/>
        <w:bidi w:val="0"/>
        <w:snapToGrid/>
        <w:spacing w:line="360" w:lineRule="auto"/>
        <w:ind w:firstLine="420"/>
        <w:rPr>
          <w:rFonts w:ascii="宋体" w:eastAsia="宋体" w:hAnsi="宋体" w:cs="宋体" w:hint="eastAsia"/>
          <w:b/>
          <w:bCs/>
          <w:szCs w:val="21"/>
        </w:rPr>
      </w:pPr>
      <w:r>
        <w:rPr>
          <w:rFonts w:ascii="宋体" w:hAnsi="宋体" w:cs="宋体" w:hint="eastAsia"/>
          <w:b/>
          <w:bCs/>
          <w:szCs w:val="21"/>
          <w:lang w:val="en-US" w:eastAsia="zh-CN"/>
        </w:rPr>
        <w:t>9</w:t>
      </w:r>
      <w:r>
        <w:rPr>
          <w:rFonts w:ascii="宋体" w:eastAsia="宋体" w:hAnsi="宋体" w:cs="宋体" w:hint="eastAsia"/>
          <w:b/>
          <w:bCs/>
          <w:szCs w:val="21"/>
        </w:rPr>
        <w:t>、维护、抢修工作细则</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1、中标人需保障足够的项目工作人员，保证不少于在三处故障点同时进行应急抢修的能力。</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2、中标人需每月对所有项目内的设施按要求巡查一遍，并通过自动办公系统等汇总上报。</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3、对未造成停电的维修项目，需在24小时内完成维修，并保障不受维修点影响的其他设施的正常运行。</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4、故障抢修：停电故障抢修时，项目负责人必须立即赶到现场。在发生故障后，受故障影响确无法送电位置外的设施需4小时内恢复供电，变压器或四单元以下（含）环网柜故障，需在8小时内完成抢修，恢复供电；其余线路故障须12小时内完成全部修复，恢复供电；对其他复杂故障，采购人与中标人及时协商确定恢复供电时间；对影响重大的故障、采购人上级主管部门或市政府提出明确恢复供电要求的，中标人必须无条件保证在限定时间内修复供电。超出规定抢修时间的，投标人可视情况进行处罚。如确因复杂故障，致晚上亮灯时间无法正常亮灯的，中标人需提供</w:t>
      </w:r>
      <w:r>
        <w:rPr>
          <w:rFonts w:ascii="宋体" w:eastAsia="宋体" w:hAnsi="宋体" w:cs="宋体" w:hint="eastAsia"/>
          <w:szCs w:val="21"/>
          <w:lang w:val="en-US" w:eastAsia="zh-CN"/>
        </w:rPr>
        <w:t>应急发电车</w:t>
      </w:r>
      <w:r>
        <w:rPr>
          <w:rFonts w:ascii="宋体" w:eastAsia="宋体" w:hAnsi="宋体" w:cs="宋体" w:hint="eastAsia"/>
          <w:szCs w:val="21"/>
        </w:rPr>
        <w:t>保证照明设施的正常使用。</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5、维护、抢修工作报告：对大型维护项目、故障抢修编写工作报告，在完成相关工作后24小时内通过办公系统提交（样本见表</w:t>
      </w:r>
      <w:r>
        <w:rPr>
          <w:rFonts w:ascii="宋体" w:eastAsia="宋体" w:hAnsi="宋体" w:cs="宋体" w:hint="eastAsia"/>
          <w:szCs w:val="21"/>
          <w:lang w:val="en-US" w:eastAsia="zh-CN"/>
        </w:rPr>
        <w:t>3</w:t>
      </w:r>
      <w:r>
        <w:rPr>
          <w:rFonts w:ascii="宋体" w:eastAsia="宋体" w:hAnsi="宋体" w:cs="宋体" w:hint="eastAsia"/>
          <w:szCs w:val="21"/>
        </w:rPr>
        <w:t>、</w:t>
      </w:r>
      <w:r>
        <w:rPr>
          <w:rFonts w:ascii="宋体" w:eastAsia="宋体" w:hAnsi="宋体" w:cs="宋体" w:hint="eastAsia"/>
          <w:szCs w:val="21"/>
          <w:lang w:val="en-US" w:eastAsia="zh-CN"/>
        </w:rPr>
        <w:t>4</w:t>
      </w:r>
      <w:r>
        <w:rPr>
          <w:rFonts w:ascii="宋体" w:eastAsia="宋体" w:hAnsi="宋体" w:cs="宋体" w:hint="eastAsia"/>
          <w:szCs w:val="21"/>
        </w:rPr>
        <w:t>）。如是重大抢修任务，在抢修过程中及时汇报，抢修完成后12小时内提供完整报告。</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6、做好继保（断路器）巡视、检测：做到每月对继保装置进行巡视并查验其是否正常工作，及时更换UPS电源，填报巡视表单。</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7、抢修人员、设备到位要求：对故障抢修，需有不少于6名作业人员(含安全员)在合同规定到场时间内到达；需有不少于两辆作业车辆到达现场。</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8、工作监管：采购人对维修、作业现场派出监管人员，主要对现场安全、交通组织、人员安全防护、施工规范、人员组织等进行监管，提供设施基本信息，提出维修要求等。</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9、设施档案要求：验收资料、供电合同、设施用户信息、每月巡查表、维修（抢修）资料（含现场照片）、检测资料等。</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10、中标人制定完善的工作规章制度、维修（抢修）工作制度并提交采购人备案。</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11、中标人项目负责人和班组长应熟悉所管理区域设施的分布、接线方式、转供电操作节点、双电源切换点等设施情况，熟悉一、二次设备操作。</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12、每年至少组织1次对项目所有工作人员专业技术的培训或应急演练，并形成报告交给采购人，培训内容应包括故障抢修和继电保护装置的运行维护。</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13、中标人必须无条件配合政府及有关部门举办的一切活动，并制定事故抢修预案，协助采购人处理突发事件。</w:t>
      </w:r>
    </w:p>
    <w:p>
      <w:pPr>
        <w:keepNext w:val="0"/>
        <w:keepLines w:val="0"/>
        <w:pageBreakBefore w:val="0"/>
        <w:widowControl w:val="0"/>
        <w:kinsoku/>
        <w:wordWrap/>
        <w:overflowPunct/>
        <w:topLinePunct w:val="0"/>
        <w:bidi w:val="0"/>
        <w:snapToGrid/>
        <w:spacing w:line="360" w:lineRule="auto"/>
        <w:ind w:firstLine="420"/>
        <w:jc w:val="left"/>
        <w:rPr>
          <w:rFonts w:ascii="宋体" w:eastAsia="宋体" w:hAnsi="宋体" w:cs="宋体" w:hint="eastAsia"/>
          <w:b/>
          <w:bCs/>
          <w:szCs w:val="21"/>
        </w:rPr>
      </w:pPr>
      <w:r>
        <w:rPr>
          <w:rFonts w:ascii="宋体" w:hAnsi="宋体" w:cs="宋体" w:hint="eastAsia"/>
          <w:b/>
          <w:bCs/>
          <w:szCs w:val="21"/>
          <w:lang w:val="en-US" w:eastAsia="zh-CN"/>
        </w:rPr>
        <w:t>10</w:t>
      </w:r>
      <w:r>
        <w:rPr>
          <w:rFonts w:ascii="宋体" w:eastAsia="宋体" w:hAnsi="宋体" w:cs="宋体" w:hint="eastAsia"/>
          <w:b/>
          <w:bCs/>
          <w:szCs w:val="21"/>
        </w:rPr>
        <w:t>、图纸、资料更新工作细则</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1、中标人需安排一</w:t>
      </w:r>
      <w:r>
        <w:rPr>
          <w:rFonts w:ascii="宋体" w:eastAsia="宋体" w:hAnsi="宋体" w:cs="宋体" w:hint="eastAsia"/>
          <w:szCs w:val="21"/>
          <w:lang w:val="en-US" w:eastAsia="zh-CN"/>
        </w:rPr>
        <w:t>名</w:t>
      </w:r>
      <w:r>
        <w:rPr>
          <w:rFonts w:ascii="宋体" w:eastAsia="宋体" w:hAnsi="宋体" w:cs="宋体" w:hint="eastAsia"/>
          <w:szCs w:val="21"/>
        </w:rPr>
        <w:t>资料员负责单线图、沿布图的编制、更新工作。</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2、中标人需不定期、及时更新单线图、沿布图等，及时更新相关资料。需每半年与各区供电局核对单线图，掌握所辖线路的位置、走向。</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3、中标人需每</w:t>
      </w:r>
      <w:r>
        <w:rPr>
          <w:rFonts w:ascii="宋体" w:eastAsia="宋体" w:hAnsi="宋体" w:cs="宋体" w:hint="eastAsia"/>
          <w:szCs w:val="21"/>
          <w:lang w:val="en-US" w:eastAsia="zh-CN"/>
        </w:rPr>
        <w:t>半年</w:t>
      </w:r>
      <w:r>
        <w:rPr>
          <w:rFonts w:ascii="宋体" w:eastAsia="宋体" w:hAnsi="宋体" w:cs="宋体" w:hint="eastAsia"/>
          <w:szCs w:val="21"/>
        </w:rPr>
        <w:t>向采购人提供更新后的单线图、沿布图。</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4、对采购人提出的需修改的信息，中标人需在5个工作日内核对并修改完成。</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5、如存在路灯高压设施在供电局的系统图与现实情况不符需要更改的情况，更改供电局系统图所需费用由中标人支付。</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zCs w:val="21"/>
        </w:rPr>
      </w:pPr>
      <w:r>
        <w:rPr>
          <w:rFonts w:ascii="宋体" w:eastAsia="宋体" w:hAnsi="宋体" w:cs="宋体" w:hint="eastAsia"/>
          <w:szCs w:val="21"/>
        </w:rPr>
        <w:t>6、</w:t>
      </w:r>
      <w:r>
        <w:rPr>
          <w:rFonts w:ascii="宋体" w:eastAsia="宋体" w:hAnsi="宋体" w:cs="宋体" w:hint="eastAsia"/>
          <w:color w:val="000000"/>
          <w:szCs w:val="21"/>
        </w:rPr>
        <w:t>中标人在维护合同期内需对所有箱变按采购人需求进行普查，包括但不限于高压柜、变压器、电表、电缆检修井规格等相关信息进行普查；在维护合同期内需使用电缆路径探测仪对采购人不少于30%数量（以条数计）的10kV电缆进行路径普查，</w:t>
      </w:r>
      <w:r>
        <w:rPr>
          <w:rFonts w:ascii="宋体" w:eastAsia="宋体" w:hAnsi="宋体" w:cs="宋体" w:hint="eastAsia"/>
          <w:szCs w:val="21"/>
        </w:rPr>
        <w:t>并将以上信息录入采购人GIS资产信息管理系统。在维护作业中，对设施的维修、拆除、迁移、线路变动等情况需及时记录、更新，形成资产的全生命周期管理及资产信息的完整性和准确性。采购人将不定期进行检查数据的准确性。中标人需配置相应的平板电脑、手机安装采购人的GIS资产信息管理系统、工单管理等平台，用于维护作业的数据普查、工单管理。投标人每月将对普查电缆路径进行抽查，发现不实的，将予以罚款。若服务期内普查数不到电缆数量的</w:t>
      </w:r>
      <w:r>
        <w:rPr>
          <w:rFonts w:ascii="宋体" w:eastAsia="宋体" w:hAnsi="宋体" w:cs="宋体" w:hint="eastAsia"/>
          <w:color w:val="000000"/>
          <w:szCs w:val="21"/>
        </w:rPr>
        <w:t>30%，缺失数量按照每条线路2000元进行罚款。</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b/>
          <w:snapToGrid w:val="0"/>
          <w:kern w:val="0"/>
          <w:szCs w:val="21"/>
        </w:rPr>
      </w:pPr>
      <w:r>
        <w:rPr>
          <w:rFonts w:ascii="宋体" w:eastAsia="宋体" w:hAnsi="宋体" w:cs="宋体" w:hint="eastAsia"/>
          <w:b/>
          <w:color w:val="000000"/>
          <w:szCs w:val="21"/>
        </w:rPr>
        <w:t>1</w:t>
      </w:r>
      <w:r>
        <w:rPr>
          <w:rFonts w:ascii="宋体" w:hAnsi="宋体" w:cs="宋体" w:hint="eastAsia"/>
          <w:b/>
          <w:color w:val="000000"/>
          <w:szCs w:val="21"/>
          <w:lang w:val="en-US" w:eastAsia="zh-CN"/>
        </w:rPr>
        <w:t>1</w:t>
      </w:r>
      <w:r>
        <w:rPr>
          <w:rFonts w:ascii="宋体" w:eastAsia="宋体" w:hAnsi="宋体" w:cs="宋体" w:hint="eastAsia"/>
          <w:b/>
          <w:color w:val="000000"/>
          <w:szCs w:val="21"/>
        </w:rPr>
        <w:t>、高压设施</w:t>
      </w:r>
      <w:r>
        <w:rPr>
          <w:rFonts w:ascii="宋体" w:eastAsia="宋体" w:hAnsi="宋体" w:cs="宋体" w:hint="eastAsia"/>
          <w:b/>
          <w:szCs w:val="21"/>
        </w:rPr>
        <w:t>数量统计与维护费用变动</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zCs w:val="21"/>
        </w:rPr>
      </w:pPr>
      <w:r>
        <w:rPr>
          <w:rFonts w:ascii="宋体" w:eastAsia="宋体" w:hAnsi="宋体" w:cs="宋体" w:hint="eastAsia"/>
          <w:szCs w:val="21"/>
        </w:rPr>
        <w:t>（1）维护企业在维护期内需要对城市照明管理单位的箱变、环网柜、配电房、10kV电力电缆进行普查，统计相关信息；</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zCs w:val="21"/>
        </w:rPr>
      </w:pPr>
      <w:r>
        <w:rPr>
          <w:rFonts w:ascii="宋体" w:eastAsia="宋体" w:hAnsi="宋体" w:cs="宋体" w:hint="eastAsia"/>
          <w:szCs w:val="21"/>
        </w:rPr>
        <w:t>（2）对在维护期内高压设施的增加、减少情况要进行实时更新，在维护期满前一个月，编制统计表提交城市照明管理单位，作为与下一合同年度维护企业交接的依据，并向采购人说明合同期内的详细变动情况；</w:t>
      </w:r>
    </w:p>
    <w:p>
      <w:pPr>
        <w:pStyle w:val="a"/>
        <w:keepNext w:val="0"/>
        <w:keepLines w:val="0"/>
        <w:pageBreakBefore w:val="0"/>
        <w:widowControl w:val="0"/>
        <w:kinsoku/>
        <w:wordWrap/>
        <w:overflowPunct/>
        <w:topLinePunct w:val="0"/>
        <w:bidi w:val="0"/>
        <w:snapToGrid/>
        <w:spacing w:before="0" w:after="0" w:line="360" w:lineRule="auto"/>
        <w:ind w:firstLine="420" w:firstLineChars="200"/>
        <w:rPr>
          <w:rFonts w:ascii="宋体" w:eastAsia="宋体" w:hAnsi="宋体" w:cs="宋体" w:hint="eastAsia"/>
          <w:sz w:val="21"/>
          <w:szCs w:val="21"/>
        </w:rPr>
      </w:pPr>
      <w:r>
        <w:rPr>
          <w:rFonts w:ascii="宋体" w:eastAsia="宋体" w:hAnsi="宋体" w:cs="宋体" w:hint="eastAsia"/>
          <w:sz w:val="21"/>
          <w:szCs w:val="21"/>
        </w:rPr>
        <w:t>（3）采购人在维护合同年度内新接管的高压设施，由采购人验收后，由中标人负责维护，不</w:t>
      </w:r>
      <w:r>
        <w:rPr>
          <w:rFonts w:ascii="宋体" w:eastAsia="宋体" w:hAnsi="宋体" w:cs="宋体" w:hint="eastAsia"/>
          <w:sz w:val="21"/>
          <w:szCs w:val="21"/>
          <w:lang w:val="en-US" w:eastAsia="zh-CN"/>
        </w:rPr>
        <w:t>予</w:t>
      </w:r>
      <w:r>
        <w:rPr>
          <w:rFonts w:ascii="宋体" w:eastAsia="宋体" w:hAnsi="宋体" w:cs="宋体" w:hint="eastAsia"/>
          <w:sz w:val="21"/>
          <w:szCs w:val="21"/>
        </w:rPr>
        <w:t>增加维护费。</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b/>
          <w:color w:val="000000"/>
          <w:szCs w:val="21"/>
        </w:rPr>
      </w:pPr>
      <w:r>
        <w:rPr>
          <w:rFonts w:ascii="宋体" w:eastAsia="宋体" w:hAnsi="宋体" w:cs="宋体" w:hint="eastAsia"/>
          <w:b/>
          <w:color w:val="000000"/>
          <w:szCs w:val="21"/>
        </w:rPr>
        <w:t>1</w:t>
      </w:r>
      <w:r>
        <w:rPr>
          <w:rFonts w:ascii="宋体" w:hAnsi="宋体" w:cs="宋体" w:hint="eastAsia"/>
          <w:b/>
          <w:color w:val="000000"/>
          <w:szCs w:val="21"/>
          <w:lang w:val="en-US" w:eastAsia="zh-CN"/>
        </w:rPr>
        <w:t>2</w:t>
      </w:r>
      <w:r>
        <w:rPr>
          <w:rFonts w:ascii="宋体" w:eastAsia="宋体" w:hAnsi="宋体" w:cs="宋体" w:hint="eastAsia"/>
          <w:b/>
          <w:color w:val="000000"/>
          <w:szCs w:val="21"/>
        </w:rPr>
        <w:t>、其他工作</w:t>
      </w:r>
    </w:p>
    <w:p>
      <w:pPr>
        <w:pStyle w:val="a"/>
        <w:keepNext w:val="0"/>
        <w:keepLines w:val="0"/>
        <w:pageBreakBefore w:val="0"/>
        <w:widowControl w:val="0"/>
        <w:kinsoku/>
        <w:wordWrap/>
        <w:overflowPunct/>
        <w:topLinePunct w:val="0"/>
        <w:bidi w:val="0"/>
        <w:snapToGrid/>
        <w:spacing w:before="0" w:after="0" w:line="360" w:lineRule="auto"/>
        <w:ind w:firstLine="420" w:firstLineChars="200"/>
        <w:rPr>
          <w:rFonts w:ascii="宋体" w:eastAsia="宋体" w:hAnsi="宋体" w:cs="宋体" w:hint="eastAsia"/>
          <w:snapToGrid w:val="0"/>
          <w:color w:val="000000"/>
          <w:kern w:val="0"/>
          <w:sz w:val="21"/>
          <w:szCs w:val="21"/>
        </w:rPr>
      </w:pPr>
      <w:r>
        <w:rPr>
          <w:rFonts w:ascii="宋体" w:eastAsia="宋体" w:hAnsi="宋体" w:cs="宋体" w:hint="eastAsia"/>
          <w:color w:val="000000"/>
          <w:sz w:val="21"/>
          <w:szCs w:val="21"/>
        </w:rPr>
        <w:t>如全中心范围内统一部署的箱变清洗行动、</w:t>
      </w:r>
      <w:r>
        <w:rPr>
          <w:rFonts w:ascii="宋体" w:eastAsia="宋体" w:hAnsi="宋体" w:cs="宋体" w:hint="eastAsia"/>
          <w:snapToGrid w:val="0"/>
          <w:color w:val="000000"/>
          <w:kern w:val="0"/>
          <w:sz w:val="21"/>
          <w:szCs w:val="21"/>
        </w:rPr>
        <w:t>安全检查、应急演练</w:t>
      </w:r>
      <w:r>
        <w:rPr>
          <w:rFonts w:ascii="宋体" w:hAnsi="宋体" w:cs="宋体" w:hint="eastAsia"/>
          <w:snapToGrid w:val="0"/>
          <w:color w:val="000000"/>
          <w:kern w:val="0"/>
          <w:sz w:val="21"/>
          <w:szCs w:val="21"/>
          <w:lang w:eastAsia="zh-CN"/>
        </w:rPr>
        <w:t>、设施验收移交</w:t>
      </w:r>
      <w:r>
        <w:rPr>
          <w:rFonts w:ascii="宋体" w:eastAsia="宋体" w:hAnsi="宋体" w:cs="宋体" w:hint="eastAsia"/>
          <w:snapToGrid w:val="0"/>
          <w:color w:val="000000"/>
          <w:kern w:val="0"/>
          <w:sz w:val="21"/>
          <w:szCs w:val="21"/>
        </w:rPr>
        <w:t>及采购人安排的</w:t>
      </w:r>
      <w:r>
        <w:rPr>
          <w:rFonts w:ascii="宋体" w:hAnsi="宋体" w:cs="宋体" w:hint="eastAsia"/>
          <w:snapToGrid w:val="0"/>
          <w:color w:val="000000"/>
          <w:kern w:val="0"/>
          <w:sz w:val="21"/>
          <w:szCs w:val="21"/>
          <w:lang w:eastAsia="zh-CN"/>
        </w:rPr>
        <w:t>非设施维护</w:t>
      </w:r>
      <w:r>
        <w:rPr>
          <w:rFonts w:ascii="宋体" w:eastAsia="宋体" w:hAnsi="宋体" w:cs="宋体" w:hint="eastAsia"/>
          <w:snapToGrid w:val="0"/>
          <w:color w:val="000000"/>
          <w:kern w:val="0"/>
          <w:sz w:val="21"/>
          <w:szCs w:val="21"/>
        </w:rPr>
        <w:t>工作。该部分</w:t>
      </w:r>
      <w:r>
        <w:rPr>
          <w:rFonts w:ascii="宋体" w:hAnsi="宋体" w:cs="宋体" w:hint="eastAsia"/>
          <w:snapToGrid w:val="0"/>
          <w:color w:val="000000"/>
          <w:kern w:val="0"/>
          <w:sz w:val="21"/>
          <w:szCs w:val="21"/>
          <w:lang w:eastAsia="zh-CN"/>
        </w:rPr>
        <w:t>工作由常驻电工完成，</w:t>
      </w:r>
      <w:r>
        <w:rPr>
          <w:rFonts w:ascii="宋体" w:eastAsia="宋体" w:hAnsi="宋体" w:cs="宋体" w:hint="eastAsia"/>
          <w:snapToGrid w:val="0"/>
          <w:color w:val="000000"/>
          <w:kern w:val="0"/>
          <w:sz w:val="21"/>
          <w:szCs w:val="21"/>
        </w:rPr>
        <w:t>费用包含在投标报价内，不计新增工程量。</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b/>
          <w:snapToGrid w:val="0"/>
          <w:color w:val="000000"/>
          <w:kern w:val="0"/>
          <w:szCs w:val="21"/>
        </w:rPr>
      </w:pPr>
      <w:r>
        <w:rPr>
          <w:rFonts w:ascii="宋体" w:eastAsia="宋体" w:hAnsi="宋体" w:cs="宋体" w:hint="eastAsia"/>
          <w:b/>
          <w:snapToGrid w:val="0"/>
          <w:color w:val="000000"/>
          <w:kern w:val="0"/>
          <w:szCs w:val="21"/>
        </w:rPr>
        <w:t>1</w:t>
      </w:r>
      <w:r>
        <w:rPr>
          <w:rFonts w:ascii="宋体" w:hAnsi="宋体" w:cs="宋体" w:hint="eastAsia"/>
          <w:b/>
          <w:snapToGrid w:val="0"/>
          <w:color w:val="000000"/>
          <w:kern w:val="0"/>
          <w:szCs w:val="21"/>
          <w:lang w:val="en-US" w:eastAsia="zh-CN"/>
        </w:rPr>
        <w:t>3</w:t>
      </w:r>
      <w:r>
        <w:rPr>
          <w:rFonts w:ascii="宋体" w:eastAsia="宋体" w:hAnsi="宋体" w:cs="宋体" w:hint="eastAsia"/>
          <w:b/>
          <w:snapToGrid w:val="0"/>
          <w:color w:val="000000"/>
          <w:kern w:val="0"/>
          <w:szCs w:val="21"/>
        </w:rPr>
        <w:t>、除以上工作外采购人安排的其他相关维护工作中标人需按时完成</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bCs/>
          <w:szCs w:val="21"/>
        </w:rPr>
      </w:pPr>
      <w:r>
        <w:rPr>
          <w:rFonts w:ascii="宋体" w:eastAsia="宋体" w:hAnsi="宋体" w:cs="宋体" w:hint="eastAsia"/>
          <w:szCs w:val="21"/>
        </w:rPr>
        <w:t>（1）</w:t>
      </w:r>
      <w:r>
        <w:rPr>
          <w:rFonts w:ascii="宋体" w:eastAsia="宋体" w:hAnsi="宋体" w:cs="宋体" w:hint="eastAsia"/>
          <w:bCs/>
          <w:szCs w:val="21"/>
        </w:rPr>
        <w:t>在本维护项目中敷设电缆、建造箱变围栏等时可能需要破挖道路、绿化、顶管施工，制作电缆井等土建</w:t>
      </w:r>
      <w:r>
        <w:rPr>
          <w:rFonts w:ascii="宋体" w:eastAsia="宋体" w:hAnsi="宋体" w:cs="宋体" w:hint="eastAsia"/>
          <w:bCs/>
          <w:color w:val="000000"/>
          <w:szCs w:val="21"/>
        </w:rPr>
        <w:t>工作，根据《深圳市占用挖掘道路管理办法》和《广东省城市道路挖掘修复工程单价标准（深圳适用）2022年》，中标人</w:t>
      </w:r>
      <w:r>
        <w:rPr>
          <w:rFonts w:ascii="宋体" w:eastAsia="宋体" w:hAnsi="宋体" w:cs="宋体" w:hint="eastAsia"/>
          <w:bCs/>
          <w:szCs w:val="21"/>
        </w:rPr>
        <w:t>需参照上述标准要求充分考虑此项工作涉及到的开挖和恢复路面费用。</w:t>
      </w:r>
    </w:p>
    <w:p>
      <w:pPr>
        <w:pStyle w:val="a"/>
        <w:ind w:firstLine="420" w:firstLineChars="200"/>
        <w:rPr>
          <w:rFonts w:eastAsia="宋体" w:hint="default"/>
          <w:sz w:val="21"/>
          <w:szCs w:val="21"/>
          <w:lang w:val="en-US" w:eastAsia="zh-CN"/>
        </w:rPr>
      </w:pPr>
      <w:r>
        <w:rPr>
          <w:rFonts w:ascii="宋体" w:eastAsia="宋体" w:hAnsi="宋体" w:cs="宋体" w:hint="eastAsia"/>
          <w:sz w:val="21"/>
          <w:szCs w:val="21"/>
        </w:rPr>
        <w:t>（</w:t>
      </w:r>
      <w:r>
        <w:rPr>
          <w:rFonts w:ascii="宋体" w:hAnsi="宋体" w:cs="宋体" w:hint="eastAsia"/>
          <w:sz w:val="21"/>
          <w:szCs w:val="21"/>
          <w:lang w:val="en-US" w:eastAsia="zh-CN"/>
        </w:rPr>
        <w:t>2</w:t>
      </w:r>
      <w:r>
        <w:rPr>
          <w:rFonts w:ascii="宋体" w:eastAsia="宋体" w:hAnsi="宋体" w:cs="宋体" w:hint="eastAsia"/>
          <w:sz w:val="21"/>
          <w:szCs w:val="21"/>
        </w:rPr>
        <w:t>）</w:t>
      </w:r>
      <w:r>
        <w:rPr>
          <w:rFonts w:ascii="宋体" w:hAnsi="宋体" w:cs="宋体" w:hint="eastAsia"/>
          <w:sz w:val="21"/>
          <w:szCs w:val="21"/>
          <w:lang w:val="en-US" w:eastAsia="zh-CN"/>
        </w:rPr>
        <w:t>采购人有设施设备采购需求时，中标人需按照采购人需求进行采购后，交付给采购人。</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bCs/>
          <w:szCs w:val="21"/>
        </w:rPr>
      </w:pPr>
      <w:r>
        <w:rPr>
          <w:rFonts w:ascii="宋体" w:eastAsia="宋体" w:hAnsi="宋体" w:cs="宋体" w:hint="eastAsia"/>
          <w:b/>
          <w:snapToGrid w:val="0"/>
          <w:color w:val="000000"/>
          <w:kern w:val="0"/>
          <w:szCs w:val="21"/>
        </w:rPr>
        <w:t>1</w:t>
      </w:r>
      <w:r>
        <w:rPr>
          <w:rFonts w:ascii="宋体" w:hAnsi="宋体" w:cs="宋体" w:hint="eastAsia"/>
          <w:b/>
          <w:snapToGrid w:val="0"/>
          <w:color w:val="000000"/>
          <w:kern w:val="0"/>
          <w:szCs w:val="21"/>
          <w:lang w:val="en-US" w:eastAsia="zh-CN"/>
        </w:rPr>
        <w:t>4</w:t>
      </w:r>
      <w:r>
        <w:rPr>
          <w:rFonts w:ascii="宋体" w:eastAsia="宋体" w:hAnsi="宋体" w:cs="宋体" w:hint="eastAsia"/>
          <w:b/>
          <w:snapToGrid w:val="0"/>
          <w:color w:val="000000"/>
          <w:kern w:val="0"/>
          <w:szCs w:val="21"/>
        </w:rPr>
        <w:t>、配合采购人因业务需要而开展的新技术、新设备安装等试点工作</w:t>
      </w:r>
    </w:p>
    <w:p>
      <w:pPr>
        <w:keepNext w:val="0"/>
        <w:keepLines w:val="0"/>
        <w:pageBreakBefore w:val="0"/>
        <w:widowControl w:val="0"/>
        <w:kinsoku/>
        <w:wordWrap/>
        <w:overflowPunct/>
        <w:topLinePunct w:val="0"/>
        <w:bidi w:val="0"/>
        <w:snapToGrid/>
        <w:spacing w:line="360" w:lineRule="auto"/>
        <w:ind w:firstLine="420"/>
        <w:jc w:val="left"/>
        <w:rPr>
          <w:rFonts w:ascii="宋体" w:eastAsia="宋体" w:hAnsi="宋体" w:cs="宋体" w:hint="eastAsia"/>
          <w:b/>
          <w:bCs/>
          <w:szCs w:val="21"/>
        </w:rPr>
      </w:pPr>
      <w:r>
        <w:rPr>
          <w:rFonts w:ascii="宋体" w:eastAsia="宋体" w:hAnsi="宋体" w:cs="宋体" w:hint="eastAsia"/>
          <w:b/>
          <w:bCs/>
          <w:szCs w:val="21"/>
        </w:rPr>
        <w:t>1</w:t>
      </w:r>
      <w:r>
        <w:rPr>
          <w:rFonts w:ascii="宋体" w:hAnsi="宋体" w:cs="宋体" w:hint="eastAsia"/>
          <w:b/>
          <w:bCs/>
          <w:szCs w:val="21"/>
          <w:lang w:val="en-US" w:eastAsia="zh-CN"/>
        </w:rPr>
        <w:t>5</w:t>
      </w:r>
      <w:r>
        <w:rPr>
          <w:rFonts w:ascii="宋体" w:eastAsia="宋体" w:hAnsi="宋体" w:cs="宋体" w:hint="eastAsia"/>
          <w:b/>
          <w:bCs/>
          <w:szCs w:val="21"/>
        </w:rPr>
        <w:t>、项目实施依据的法律法规、技术标准及规范</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1、中华人民共和国建筑法</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2、建设工程质量管理条例</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3、测量规范（GB50026-2007）</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4、施工现场临时用电安全技术规范（JGJ46-2005）</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5、建设工程施工现场供用电安全规范（GB50194-93）</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6、建筑机械使用安全技术规程（JGJ33-2012）</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7、建筑施工安全检查标准（JGJ59-2011）</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8、城市道路城市照明工程施工及验收规程（CJJ89-2012）</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9、电气装置安装工程低压电器施工及验收规范（GB50254～50259-96）</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10、电气装置安装工程电缆线路施工及验收规范（GB50168-2006）</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11、电气装置安装工程接地装置施工及验收规范（GB50169-2006）</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12、电气装置安装工程35kV及以下架空电力线路施工及验收规范（GB50173-92）</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13、电气装置安装工程高压电器施工及验收规范（GB50147-2010）</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14、电气安装工程电力变压器、油浸电热器、互感器施工及验收规范（GBJ148-90）</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15、电气装置安装工程电气设备交接试验标准（GB50150-2006）</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16、变压器油（GB2536），设备中变压器油指标（GB7595）</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17、城市道路城市照明设施管理有关规定</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zCs w:val="21"/>
        </w:rPr>
      </w:pPr>
      <w:r>
        <w:rPr>
          <w:rFonts w:ascii="宋体" w:eastAsia="宋体" w:hAnsi="宋体" w:cs="宋体" w:hint="eastAsia"/>
          <w:b/>
          <w:snapToGrid w:val="0"/>
          <w:szCs w:val="21"/>
        </w:rPr>
        <w:t>以上未尽之处或条例、规范发生变化时，以国家和地方最新颁布的法律、法规以及规范、标准执行。</w:t>
      </w:r>
    </w:p>
    <w:p>
      <w:pPr>
        <w:pStyle w:val="a"/>
        <w:keepNext w:val="0"/>
        <w:keepLines w:val="0"/>
        <w:pageBreakBefore w:val="0"/>
        <w:widowControl w:val="0"/>
        <w:kinsoku/>
        <w:wordWrap/>
        <w:overflowPunct/>
        <w:topLinePunct w:val="0"/>
        <w:bidi w:val="0"/>
        <w:snapToGrid/>
        <w:spacing w:before="0" w:after="0" w:line="360" w:lineRule="auto"/>
        <w:rPr>
          <w:rFonts w:ascii="宋体" w:eastAsia="宋体" w:hAnsi="宋体" w:cs="宋体" w:hint="eastAsia"/>
          <w:sz w:val="21"/>
          <w:szCs w:val="21"/>
        </w:rPr>
      </w:pPr>
      <w:r>
        <w:rPr>
          <w:rFonts w:ascii="宋体" w:eastAsia="宋体" w:hAnsi="宋体" w:cs="宋体" w:hint="eastAsia"/>
          <w:sz w:val="21"/>
          <w:szCs w:val="21"/>
        </w:rPr>
        <w:t xml:space="preserve">   </w:t>
      </w:r>
      <w:r>
        <w:rPr>
          <w:rFonts w:ascii="宋体" w:eastAsia="宋体" w:hAnsi="宋体" w:cs="宋体" w:hint="eastAsia"/>
          <w:b/>
          <w:bCs/>
          <w:sz w:val="21"/>
          <w:szCs w:val="21"/>
        </w:rPr>
        <w:t>（五）具体服务要求</w:t>
      </w:r>
    </w:p>
    <w:p>
      <w:pPr>
        <w:keepNext w:val="0"/>
        <w:keepLines w:val="0"/>
        <w:pageBreakBefore w:val="0"/>
        <w:widowControl w:val="0"/>
        <w:kinsoku/>
        <w:wordWrap/>
        <w:overflowPunct/>
        <w:topLinePunct w:val="0"/>
        <w:bidi w:val="0"/>
        <w:snapToGrid/>
        <w:spacing w:line="360" w:lineRule="auto"/>
        <w:ind w:firstLine="420"/>
        <w:rPr>
          <w:rFonts w:ascii="宋体" w:eastAsia="宋体" w:hAnsi="宋体" w:cs="宋体" w:hint="eastAsia"/>
          <w:b/>
          <w:bCs/>
          <w:szCs w:val="21"/>
        </w:rPr>
      </w:pPr>
      <w:r>
        <w:rPr>
          <w:rFonts w:ascii="宋体" w:eastAsia="宋体" w:hAnsi="宋体" w:cs="宋体" w:hint="eastAsia"/>
          <w:b/>
          <w:color w:val="000000"/>
          <w:szCs w:val="21"/>
        </w:rPr>
        <w:t>1.</w:t>
      </w:r>
      <w:r>
        <w:rPr>
          <w:rFonts w:ascii="宋体" w:eastAsia="宋体" w:hAnsi="宋体" w:cs="宋体" w:hint="eastAsia"/>
          <w:b/>
          <w:bCs/>
          <w:szCs w:val="21"/>
        </w:rPr>
        <w:t>人员、相关车辆及设备配置要求</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1、采购人管理范围内共有5个所，中标人需为每个所都安排维护巡查人员，并配备巡检作业车辆和检修设备，接受各管理所工作安排，接受驻点管理所的人员考勤等。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ascii="宋体" w:eastAsia="宋体" w:hAnsi="宋体" w:cs="宋体" w:hint="eastAsia"/>
          <w:szCs w:val="21"/>
          <w:lang w:val="en-US" w:eastAsia="zh-CN"/>
        </w:rPr>
      </w:pPr>
      <w:r>
        <w:rPr>
          <w:rFonts w:ascii="宋体" w:eastAsia="宋体" w:hAnsi="宋体" w:cs="宋体" w:hint="eastAsia"/>
          <w:szCs w:val="21"/>
        </w:rPr>
        <w:t>2、</w:t>
      </w:r>
      <w:r>
        <w:rPr>
          <w:rFonts w:ascii="宋体" w:eastAsia="宋体" w:hAnsi="宋体" w:cs="宋体" w:hint="eastAsia"/>
          <w:szCs w:val="21"/>
        </w:rPr>
        <w:t>中标人必须健全本维护项目实施的组织机构，要求项目人员不少于</w:t>
      </w:r>
      <w:r>
        <w:rPr>
          <w:rFonts w:ascii="宋体" w:hAnsi="宋体" w:cs="宋体" w:hint="eastAsia"/>
          <w:szCs w:val="21"/>
          <w:lang w:val="en-US" w:eastAsia="zh-CN"/>
        </w:rPr>
        <w:t>13</w:t>
      </w:r>
      <w:r>
        <w:rPr>
          <w:rFonts w:ascii="宋体" w:eastAsia="宋体" w:hAnsi="宋体" w:cs="宋体" w:hint="eastAsia"/>
          <w:szCs w:val="21"/>
          <w:lang w:val="en-US" w:eastAsia="zh-CN"/>
        </w:rPr>
        <w:t>人</w:t>
      </w:r>
      <w:r>
        <w:rPr>
          <w:rFonts w:ascii="宋体" w:eastAsia="宋体" w:hAnsi="宋体" w:cs="宋体" w:hint="eastAsia"/>
          <w:szCs w:val="21"/>
        </w:rPr>
        <w:t>，具体要求如下：</w:t>
      </w:r>
      <w:r>
        <w:rPr>
          <w:rFonts w:ascii="宋体" w:eastAsia="宋体" w:hAnsi="宋体" w:cs="宋体" w:hint="eastAsia"/>
          <w:szCs w:val="21"/>
          <w:lang w:val="en-US" w:eastAsia="zh-CN"/>
        </w:rPr>
        <w:t>项目经理1名，安全主管1名，造价工程师1名，资料员2名</w:t>
      </w:r>
      <w:r>
        <w:rPr>
          <w:rFonts w:ascii="宋体" w:eastAsia="宋体" w:hAnsi="宋体" w:cs="宋体" w:hint="eastAsia"/>
          <w:szCs w:val="21"/>
        </w:rPr>
        <w:t>、</w:t>
      </w:r>
      <w:r>
        <w:rPr>
          <w:rFonts w:ascii="宋体" w:eastAsia="宋体" w:hAnsi="宋体" w:cs="宋体" w:hint="eastAsia"/>
          <w:szCs w:val="21"/>
          <w:lang w:val="en-US" w:eastAsia="zh-CN"/>
        </w:rPr>
        <w:t>日常巡查电工</w:t>
      </w:r>
      <w:r>
        <w:rPr>
          <w:rFonts w:ascii="宋体" w:hAnsi="宋体" w:cs="宋体" w:hint="eastAsia"/>
          <w:szCs w:val="21"/>
          <w:lang w:val="en-US" w:eastAsia="zh-CN"/>
        </w:rPr>
        <w:t>8</w:t>
      </w:r>
      <w:r>
        <w:rPr>
          <w:rFonts w:ascii="宋体" w:eastAsia="宋体" w:hAnsi="宋体" w:cs="宋体" w:hint="eastAsia"/>
          <w:szCs w:val="21"/>
        </w:rPr>
        <w:t>名、安全员</w:t>
      </w:r>
      <w:r>
        <w:rPr>
          <w:rFonts w:ascii="宋体" w:hAnsi="宋体" w:cs="宋体" w:hint="eastAsia"/>
          <w:szCs w:val="21"/>
          <w:lang w:val="en-US" w:eastAsia="zh-CN"/>
        </w:rPr>
        <w:t>2</w:t>
      </w:r>
      <w:r>
        <w:rPr>
          <w:rFonts w:ascii="宋体" w:eastAsia="宋体" w:hAnsi="宋体" w:cs="宋体" w:hint="eastAsia"/>
          <w:szCs w:val="21"/>
        </w:rPr>
        <w:t>名（可兼任），</w:t>
      </w:r>
      <w:r>
        <w:rPr>
          <w:rFonts w:ascii="宋体" w:hAnsi="宋体" w:cs="宋体" w:hint="eastAsia"/>
          <w:szCs w:val="21"/>
          <w:lang w:val="en-US" w:eastAsia="zh-CN"/>
        </w:rPr>
        <w:t>技术负责人一名</w:t>
      </w:r>
      <w:r>
        <w:rPr>
          <w:rFonts w:ascii="宋体" w:eastAsia="宋体" w:hAnsi="宋体" w:cs="宋体" w:hint="eastAsia"/>
          <w:szCs w:val="21"/>
        </w:rPr>
        <w:t>（可兼任）</w:t>
      </w:r>
      <w:r>
        <w:rPr>
          <w:rFonts w:ascii="宋体" w:hAnsi="宋体" w:cs="宋体" w:hint="eastAsia"/>
          <w:szCs w:val="21"/>
          <w:lang w:val="en-US" w:eastAsia="zh-CN"/>
        </w:rPr>
        <w:t>，</w:t>
      </w:r>
      <w:r>
        <w:rPr>
          <w:rFonts w:ascii="宋体" w:eastAsia="宋体" w:hAnsi="宋体" w:cs="宋体" w:hint="eastAsia"/>
          <w:szCs w:val="21"/>
        </w:rPr>
        <w:t>继电保护作业人员不少于1名（可兼任）、电气试验作业人员不少于1名（可兼任）、</w:t>
      </w:r>
      <w:r>
        <w:rPr>
          <w:rFonts w:ascii="宋体" w:hAnsi="宋体" w:cs="宋体" w:hint="eastAsia"/>
          <w:szCs w:val="21"/>
          <w:lang w:val="en-US" w:eastAsia="zh-CN"/>
        </w:rPr>
        <w:t>供电局工作票办理</w:t>
      </w:r>
      <w:r>
        <w:rPr>
          <w:rFonts w:ascii="宋体" w:eastAsia="宋体" w:hAnsi="宋体" w:cs="宋体" w:hint="eastAsia"/>
          <w:szCs w:val="21"/>
        </w:rPr>
        <w:t>人员不少于1名（可兼任）</w:t>
      </w:r>
      <w:r>
        <w:rPr>
          <w:rFonts w:ascii="宋体" w:eastAsia="宋体" w:hAnsi="宋体" w:cs="宋体" w:hint="eastAsia"/>
          <w:szCs w:val="21"/>
          <w:lang w:eastAsia="zh-CN"/>
        </w:rPr>
        <w:t>。</w:t>
      </w:r>
      <w:r>
        <w:rPr>
          <w:rFonts w:ascii="宋体" w:eastAsia="宋体" w:hAnsi="宋体" w:cs="宋体" w:hint="eastAsia"/>
          <w:szCs w:val="21"/>
          <w:lang w:val="en-US" w:eastAsia="zh-CN"/>
        </w:rPr>
        <w:t>其中电工、资料员需常驻本项目办公地点，</w:t>
      </w:r>
      <w:r>
        <w:rPr>
          <w:rFonts w:ascii="宋体" w:eastAsia="宋体" w:hAnsi="宋体" w:cs="宋体" w:hint="eastAsia"/>
          <w:szCs w:val="21"/>
        </w:rPr>
        <w:t>以上人员需具备相关作业资格证书，以上各项中配置的人员不能为同一个人（备注可兼任的除外）。</w:t>
      </w:r>
      <w:r>
        <w:rPr>
          <w:rFonts w:ascii="宋体" w:eastAsia="宋体" w:hAnsi="宋体" w:cs="宋体" w:hint="eastAsia"/>
          <w:szCs w:val="21"/>
        </w:rPr>
        <w:t>中标人将以上人员的身份证、相关职称或资格证书、社保证明复印件</w:t>
      </w:r>
      <w:r>
        <w:rPr>
          <w:rFonts w:ascii="宋体" w:eastAsia="宋体" w:hAnsi="宋体" w:cs="宋体" w:hint="eastAsia"/>
          <w:szCs w:val="21"/>
          <w:lang w:val="en-US" w:eastAsia="zh-CN"/>
        </w:rPr>
        <w:t>在签订合同时</w:t>
      </w:r>
      <w:r>
        <w:rPr>
          <w:rFonts w:ascii="宋体" w:eastAsia="宋体" w:hAnsi="宋体" w:cs="宋体" w:hint="eastAsia"/>
          <w:szCs w:val="21"/>
        </w:rPr>
        <w:t>送采购人备案。</w:t>
      </w:r>
      <w:r>
        <w:rPr>
          <w:rFonts w:ascii="宋体" w:eastAsia="宋体" w:hAnsi="宋体" w:cs="宋体" w:hint="eastAsia"/>
          <w:szCs w:val="21"/>
          <w:lang w:val="en-US" w:eastAsia="zh-CN"/>
        </w:rPr>
        <w:t>日常巡查电工用于日常巡查、</w:t>
      </w:r>
      <w:r>
        <w:rPr>
          <w:rFonts w:ascii="宋体" w:hAnsi="宋体" w:cs="宋体" w:hint="eastAsia"/>
          <w:szCs w:val="21"/>
          <w:lang w:val="en-US" w:eastAsia="zh-CN"/>
        </w:rPr>
        <w:t>设施日常检测</w:t>
      </w:r>
      <w:r>
        <w:rPr>
          <w:rFonts w:ascii="宋体" w:eastAsia="宋体" w:hAnsi="宋体" w:cs="宋体" w:hint="eastAsia"/>
          <w:szCs w:val="21"/>
          <w:lang w:val="en-US" w:eastAsia="zh-CN"/>
        </w:rPr>
        <w:t>、</w:t>
      </w:r>
      <w:r>
        <w:rPr>
          <w:rFonts w:ascii="宋体" w:hAnsi="宋体" w:cs="宋体" w:hint="eastAsia"/>
          <w:szCs w:val="21"/>
          <w:lang w:val="en-US" w:eastAsia="zh-CN"/>
        </w:rPr>
        <w:t>设施普查</w:t>
      </w:r>
      <w:r>
        <w:rPr>
          <w:rFonts w:ascii="宋体" w:eastAsia="宋体" w:hAnsi="宋体" w:cs="宋体" w:hint="eastAsia"/>
          <w:szCs w:val="21"/>
          <w:lang w:val="en-US" w:eastAsia="zh-CN"/>
        </w:rPr>
        <w:t>、设施抢修及配合采购人工作，如以上电工用于设施更新项目施工则不计人工费。</w:t>
      </w:r>
    </w:p>
    <w:p>
      <w:pPr>
        <w:pStyle w:val="a"/>
        <w:ind w:firstLine="420" w:firstLineChars="200"/>
        <w:rPr>
          <w:rFonts w:hint="eastAsia"/>
          <w:b/>
          <w:bCs/>
          <w:sz w:val="21"/>
          <w:szCs w:val="21"/>
        </w:rPr>
      </w:pPr>
      <w:r>
        <w:rPr>
          <w:rFonts w:ascii="宋体" w:eastAsia="宋体" w:hAnsi="宋体" w:cs="宋体" w:hint="eastAsia"/>
          <w:b/>
          <w:bCs/>
          <w:color w:val="auto"/>
          <w:sz w:val="21"/>
          <w:szCs w:val="21"/>
          <w:highlight w:val="yellow"/>
        </w:rPr>
        <w:t>★</w:t>
      </w:r>
      <w:r>
        <w:rPr>
          <w:rFonts w:ascii="宋体" w:hAnsi="宋体" w:cs="宋体" w:hint="eastAsia"/>
          <w:b/>
          <w:bCs/>
          <w:color w:val="auto"/>
          <w:sz w:val="21"/>
          <w:szCs w:val="21"/>
          <w:highlight w:val="yellow"/>
          <w:lang w:val="en-US" w:eastAsia="zh-CN"/>
        </w:rPr>
        <w:t>3</w:t>
      </w:r>
      <w:r>
        <w:rPr>
          <w:rFonts w:ascii="宋体" w:eastAsia="宋体" w:hAnsi="宋体" w:cs="宋体" w:hint="eastAsia"/>
          <w:b/>
          <w:bCs/>
          <w:color w:val="auto"/>
          <w:sz w:val="21"/>
          <w:szCs w:val="21"/>
          <w:highlight w:val="yellow"/>
        </w:rPr>
        <w:t>、</w:t>
      </w:r>
      <w:r>
        <w:rPr>
          <w:rFonts w:ascii="宋体" w:eastAsia="宋体" w:hAnsi="宋体" w:cs="宋体" w:hint="eastAsia"/>
          <w:b/>
          <w:bCs/>
          <w:sz w:val="21"/>
          <w:szCs w:val="21"/>
          <w:highlight w:val="yellow"/>
        </w:rPr>
        <w:t>项目</w:t>
      </w:r>
      <w:r>
        <w:rPr>
          <w:rFonts w:ascii="宋体" w:hAnsi="宋体" w:cs="宋体" w:hint="eastAsia"/>
          <w:b/>
          <w:bCs/>
          <w:sz w:val="21"/>
          <w:szCs w:val="21"/>
          <w:highlight w:val="yellow"/>
          <w:lang w:val="en-US" w:eastAsia="zh-CN"/>
        </w:rPr>
        <w:t>经理</w:t>
      </w:r>
      <w:r>
        <w:rPr>
          <w:rFonts w:ascii="宋体" w:eastAsia="宋体" w:hAnsi="宋体" w:cs="宋体" w:hint="eastAsia"/>
          <w:b/>
          <w:bCs/>
          <w:sz w:val="21"/>
          <w:szCs w:val="21"/>
          <w:highlight w:val="yellow"/>
        </w:rPr>
        <w:t>所负责</w:t>
      </w:r>
      <w:r>
        <w:rPr>
          <w:rFonts w:ascii="宋体" w:hAnsi="宋体" w:cs="宋体" w:hint="eastAsia"/>
          <w:b/>
          <w:bCs/>
          <w:sz w:val="21"/>
          <w:szCs w:val="21"/>
          <w:highlight w:val="yellow"/>
          <w:lang w:val="en-US" w:eastAsia="zh-CN"/>
        </w:rPr>
        <w:t>的</w:t>
      </w:r>
      <w:r>
        <w:rPr>
          <w:rFonts w:ascii="宋体" w:eastAsia="宋体" w:hAnsi="宋体" w:cs="宋体" w:hint="eastAsia"/>
          <w:b/>
          <w:bCs/>
          <w:sz w:val="21"/>
          <w:szCs w:val="21"/>
          <w:highlight w:val="yellow"/>
        </w:rPr>
        <w:t>项目数量不得超过两个（含本项目）。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ascii="宋体" w:eastAsia="宋体" w:hAnsi="宋体" w:cs="宋体" w:hint="eastAsia"/>
          <w:bCs/>
          <w:sz w:val="21"/>
          <w:szCs w:val="21"/>
          <w:lang w:eastAsia="zh-CN"/>
        </w:rPr>
      </w:pPr>
      <w:r>
        <w:rPr>
          <w:rFonts w:ascii="宋体" w:hAnsi="宋体" w:cs="宋体" w:hint="eastAsia"/>
          <w:bCs/>
          <w:sz w:val="21"/>
          <w:szCs w:val="21"/>
          <w:lang w:val="en-US" w:eastAsia="zh-CN"/>
        </w:rPr>
        <w:t>4</w:t>
      </w:r>
      <w:r>
        <w:rPr>
          <w:rFonts w:ascii="宋体" w:eastAsia="宋体" w:hAnsi="宋体" w:cs="宋体" w:hint="eastAsia"/>
          <w:bCs/>
          <w:sz w:val="21"/>
          <w:szCs w:val="21"/>
          <w:lang w:val="en-US" w:eastAsia="zh-CN"/>
        </w:rPr>
        <w:t>.</w:t>
      </w:r>
      <w:r>
        <w:rPr>
          <w:rFonts w:ascii="宋体" w:eastAsia="宋体" w:hAnsi="宋体" w:cs="宋体" w:hint="eastAsia"/>
          <w:bCs/>
          <w:sz w:val="21"/>
          <w:szCs w:val="21"/>
        </w:rPr>
        <w:t>中标方项目实施团队</w:t>
      </w:r>
      <w:r>
        <w:rPr>
          <w:rFonts w:ascii="宋体" w:eastAsia="宋体" w:hAnsi="宋体" w:cs="宋体" w:hint="eastAsia"/>
          <w:bCs/>
          <w:sz w:val="21"/>
          <w:szCs w:val="21"/>
          <w:lang w:val="en-US" w:eastAsia="zh-CN"/>
        </w:rPr>
        <w:t>所有</w:t>
      </w:r>
      <w:r>
        <w:rPr>
          <w:rFonts w:ascii="宋体" w:eastAsia="宋体" w:hAnsi="宋体" w:cs="宋体" w:hint="eastAsia"/>
          <w:bCs/>
          <w:sz w:val="21"/>
          <w:szCs w:val="21"/>
        </w:rPr>
        <w:t>人员需报</w:t>
      </w:r>
      <w:r>
        <w:rPr>
          <w:rFonts w:ascii="宋体" w:eastAsia="宋体" w:hAnsi="宋体" w:cs="宋体" w:hint="eastAsia"/>
          <w:bCs/>
          <w:sz w:val="21"/>
          <w:szCs w:val="21"/>
          <w:lang w:eastAsia="zh-CN"/>
        </w:rPr>
        <w:t>采购方</w:t>
      </w:r>
      <w:r>
        <w:rPr>
          <w:rFonts w:ascii="宋体" w:eastAsia="宋体" w:hAnsi="宋体" w:cs="宋体" w:hint="eastAsia"/>
          <w:bCs/>
          <w:sz w:val="21"/>
          <w:szCs w:val="21"/>
        </w:rPr>
        <w:t>备案，如因离职、生病、调岗等原因进行人员变动需报备</w:t>
      </w:r>
      <w:r>
        <w:rPr>
          <w:rFonts w:ascii="宋体" w:eastAsia="宋体" w:hAnsi="宋体" w:cs="宋体" w:hint="eastAsia"/>
          <w:bCs/>
          <w:sz w:val="21"/>
          <w:szCs w:val="21"/>
          <w:lang w:eastAsia="zh-CN"/>
        </w:rPr>
        <w:t>采购方</w:t>
      </w:r>
      <w:r>
        <w:rPr>
          <w:rFonts w:ascii="宋体" w:eastAsia="宋体" w:hAnsi="宋体" w:cs="宋体" w:hint="eastAsia"/>
          <w:bCs/>
          <w:sz w:val="21"/>
          <w:szCs w:val="21"/>
        </w:rPr>
        <w:t>，经</w:t>
      </w:r>
      <w:r>
        <w:rPr>
          <w:rFonts w:ascii="宋体" w:eastAsia="宋体" w:hAnsi="宋体" w:cs="宋体" w:hint="eastAsia"/>
          <w:bCs/>
          <w:sz w:val="21"/>
          <w:szCs w:val="21"/>
          <w:lang w:eastAsia="zh-CN"/>
        </w:rPr>
        <w:t>采购方</w:t>
      </w:r>
      <w:r>
        <w:rPr>
          <w:rFonts w:ascii="宋体" w:eastAsia="宋体" w:hAnsi="宋体" w:cs="宋体" w:hint="eastAsia"/>
          <w:bCs/>
          <w:sz w:val="21"/>
          <w:szCs w:val="21"/>
        </w:rPr>
        <w:t>同意进行变动的人员的职称、资质等级不低于原人员。</w:t>
      </w:r>
      <w:r>
        <w:rPr>
          <w:rFonts w:ascii="宋体" w:eastAsia="宋体" w:hAnsi="宋体" w:cs="宋体" w:hint="eastAsia"/>
          <w:bCs/>
          <w:sz w:val="21"/>
          <w:szCs w:val="21"/>
          <w:lang w:eastAsia="zh-CN"/>
        </w:rPr>
        <w:t>采购方</w:t>
      </w:r>
      <w:r>
        <w:rPr>
          <w:rFonts w:ascii="宋体" w:eastAsia="宋体" w:hAnsi="宋体" w:cs="宋体" w:hint="eastAsia"/>
          <w:bCs/>
          <w:sz w:val="21"/>
          <w:szCs w:val="21"/>
        </w:rPr>
        <w:t>也将建立考勤制度，对项目实施团队进行考核。</w:t>
      </w:r>
      <w:r>
        <w:rPr>
          <w:rFonts w:ascii="宋体" w:eastAsia="宋体" w:hAnsi="宋体" w:cs="宋体" w:hint="eastAsia"/>
          <w:szCs w:val="21"/>
        </w:rPr>
        <w:t>如未得到</w:t>
      </w:r>
      <w:r>
        <w:rPr>
          <w:rFonts w:ascii="宋体" w:eastAsia="宋体" w:hAnsi="宋体" w:cs="宋体" w:hint="eastAsia"/>
          <w:szCs w:val="21"/>
          <w:lang w:val="en-US" w:eastAsia="zh-CN"/>
        </w:rPr>
        <w:t>采购人</w:t>
      </w:r>
      <w:r>
        <w:rPr>
          <w:rFonts w:ascii="宋体" w:eastAsia="宋体" w:hAnsi="宋体" w:cs="宋体" w:hint="eastAsia"/>
          <w:szCs w:val="21"/>
        </w:rPr>
        <w:t>同意更换</w:t>
      </w:r>
      <w:r>
        <w:rPr>
          <w:rFonts w:ascii="宋体" w:hAnsi="宋体" w:cs="宋体" w:hint="eastAsia"/>
          <w:szCs w:val="21"/>
          <w:lang w:val="en-US"/>
        </w:rPr>
        <w:t>项目人员</w:t>
      </w:r>
      <w:r>
        <w:rPr>
          <w:rFonts w:ascii="宋体" w:eastAsia="宋体" w:hAnsi="宋体" w:cs="宋体" w:hint="eastAsia"/>
          <w:szCs w:val="21"/>
        </w:rPr>
        <w:t>的</w:t>
      </w:r>
      <w:r>
        <w:rPr>
          <w:rFonts w:ascii="宋体" w:hAnsi="宋体" w:cs="宋体" w:hint="default"/>
          <w:szCs w:val="21"/>
        </w:rPr>
        <w:t>，</w:t>
      </w:r>
      <w:r>
        <w:rPr>
          <w:rFonts w:ascii="宋体" w:eastAsia="宋体" w:hAnsi="宋体" w:cs="宋体" w:hint="eastAsia"/>
          <w:szCs w:val="21"/>
        </w:rPr>
        <w:t>每人次</w:t>
      </w:r>
      <w:r>
        <w:rPr>
          <w:rFonts w:ascii="宋体" w:eastAsia="宋体" w:hAnsi="宋体" w:cs="宋体" w:hint="eastAsia"/>
          <w:szCs w:val="21"/>
          <w:lang w:val="en-US" w:eastAsia="zh-CN"/>
        </w:rPr>
        <w:t>罚款</w:t>
      </w:r>
      <w:r>
        <w:rPr>
          <w:rFonts w:ascii="宋体" w:eastAsia="宋体" w:hAnsi="宋体" w:cs="宋体" w:hint="eastAsia"/>
          <w:szCs w:val="21"/>
        </w:rPr>
        <w:t>10000元</w:t>
      </w:r>
      <w:r>
        <w:rPr>
          <w:rFonts w:ascii="宋体" w:eastAsia="宋体" w:hAnsi="宋体" w:cs="宋体" w:hint="eastAsia"/>
          <w:szCs w:val="21"/>
          <w:lang w:eastAsia="zh-CN"/>
        </w:rPr>
        <w:t>，</w:t>
      </w:r>
      <w:r>
        <w:rPr>
          <w:rFonts w:ascii="宋体" w:eastAsia="宋体" w:hAnsi="宋体" w:cs="宋体" w:hint="eastAsia"/>
          <w:szCs w:val="21"/>
        </w:rPr>
        <w:t>在维护费支付时予以扣除。</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b/>
          <w:bCs/>
          <w:color w:val="auto"/>
          <w:szCs w:val="21"/>
          <w:highlight w:val="yellow"/>
        </w:rPr>
        <w:t>★</w:t>
      </w:r>
      <w:r>
        <w:rPr>
          <w:rFonts w:ascii="宋体" w:hAnsi="宋体" w:cs="宋体" w:hint="eastAsia"/>
          <w:b/>
          <w:bCs/>
          <w:color w:val="auto"/>
          <w:szCs w:val="21"/>
          <w:highlight w:val="yellow"/>
          <w:lang w:val="en-US" w:eastAsia="zh-CN"/>
        </w:rPr>
        <w:t>5</w:t>
      </w:r>
      <w:r>
        <w:rPr>
          <w:rFonts w:ascii="宋体" w:eastAsia="宋体" w:hAnsi="宋体" w:cs="宋体" w:hint="eastAsia"/>
          <w:b/>
          <w:bCs/>
          <w:color w:val="auto"/>
          <w:szCs w:val="21"/>
          <w:highlight w:val="yellow"/>
        </w:rPr>
        <w:t>、投标人需承诺在中标通知书发出后3天内组织项目维护团队人员进场开始交接工作（需提供《项目过渡期交接承诺函》作为响应依据，格式自拟，未提供承诺或承诺内容不满足要求的视为负偏离，按投标无效处理）。</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hAnsi="宋体" w:cs="宋体" w:hint="eastAsia"/>
          <w:szCs w:val="21"/>
          <w:lang w:val="en-US" w:eastAsia="zh-CN"/>
        </w:rPr>
        <w:t>6</w:t>
      </w:r>
      <w:r>
        <w:rPr>
          <w:rFonts w:ascii="宋体" w:eastAsia="宋体" w:hAnsi="宋体" w:cs="宋体" w:hint="eastAsia"/>
          <w:szCs w:val="21"/>
        </w:rPr>
        <w:t>、投标人必须为项目实施团队人员购买社保（养老、医疗、工伤等险种），人员、人数必须与备案相符。如未购买社保或人员、人数不符的，每人次</w:t>
      </w:r>
      <w:r>
        <w:rPr>
          <w:rFonts w:ascii="宋体" w:eastAsia="宋体" w:hAnsi="宋体" w:cs="宋体" w:hint="eastAsia"/>
          <w:szCs w:val="21"/>
          <w:lang w:val="en-US" w:eastAsia="zh-CN"/>
        </w:rPr>
        <w:t>罚款</w:t>
      </w:r>
      <w:r>
        <w:rPr>
          <w:rFonts w:ascii="宋体" w:eastAsia="宋体" w:hAnsi="宋体" w:cs="宋体" w:hint="eastAsia"/>
          <w:szCs w:val="21"/>
        </w:rPr>
        <w:t>10000元，在维护费支付时予以扣除。</w:t>
      </w:r>
    </w:p>
    <w:p>
      <w:pPr>
        <w:keepNext w:val="0"/>
        <w:keepLines w:val="0"/>
        <w:pageBreakBefore w:val="0"/>
        <w:widowControl w:val="0"/>
        <w:kinsoku/>
        <w:wordWrap/>
        <w:overflowPunct/>
        <w:topLinePunct w:val="0"/>
        <w:bidi w:val="0"/>
        <w:snapToGrid/>
        <w:spacing w:line="360" w:lineRule="auto"/>
        <w:ind w:firstLine="393" w:firstLineChars="187"/>
        <w:rPr>
          <w:rFonts w:ascii="宋体" w:eastAsia="宋体" w:hAnsi="宋体" w:cs="宋体" w:hint="eastAsia"/>
          <w:b/>
          <w:bCs/>
          <w:snapToGrid w:val="0"/>
          <w:kern w:val="0"/>
          <w:szCs w:val="21"/>
          <w:highlight w:val="yellow"/>
        </w:rPr>
      </w:pPr>
      <w:r>
        <w:rPr>
          <w:rFonts w:ascii="宋体" w:eastAsia="宋体" w:hAnsi="宋体" w:cs="宋体" w:hint="eastAsia"/>
          <w:b/>
          <w:bCs/>
          <w:color w:val="000000"/>
          <w:szCs w:val="21"/>
          <w:highlight w:val="yellow"/>
        </w:rPr>
        <w:t>★</w:t>
      </w:r>
      <w:r>
        <w:rPr>
          <w:rFonts w:ascii="宋体" w:hAnsi="宋体" w:cs="宋体" w:hint="eastAsia"/>
          <w:b/>
          <w:bCs/>
          <w:snapToGrid w:val="0"/>
          <w:kern w:val="0"/>
          <w:szCs w:val="21"/>
          <w:highlight w:val="yellow"/>
          <w:lang w:val="en-US" w:eastAsia="zh-CN"/>
        </w:rPr>
        <w:t>7</w:t>
      </w:r>
      <w:r>
        <w:rPr>
          <w:rFonts w:ascii="宋体" w:eastAsia="宋体" w:hAnsi="宋体" w:cs="宋体" w:hint="eastAsia"/>
          <w:b/>
          <w:bCs/>
          <w:szCs w:val="21"/>
          <w:highlight w:val="yellow"/>
        </w:rPr>
        <w:t>、</w:t>
      </w:r>
      <w:r>
        <w:rPr>
          <w:rFonts w:ascii="宋体" w:eastAsia="宋体" w:hAnsi="宋体" w:cs="宋体" w:hint="eastAsia"/>
          <w:b/>
          <w:bCs/>
          <w:snapToGrid w:val="0"/>
          <w:kern w:val="0"/>
          <w:szCs w:val="21"/>
          <w:highlight w:val="yellow"/>
        </w:rPr>
        <w:t>中标人需购买安全责任险中的第三者和施救费保险，保额需求：</w:t>
      </w:r>
    </w:p>
    <w:p>
      <w:pPr>
        <w:keepNext w:val="0"/>
        <w:keepLines w:val="0"/>
        <w:pageBreakBefore w:val="0"/>
        <w:widowControl w:val="0"/>
        <w:kinsoku/>
        <w:wordWrap/>
        <w:overflowPunct/>
        <w:topLinePunct w:val="0"/>
        <w:bidi w:val="0"/>
        <w:snapToGrid/>
        <w:spacing w:line="360" w:lineRule="auto"/>
        <w:ind w:firstLine="420"/>
        <w:rPr>
          <w:rFonts w:ascii="宋体" w:eastAsia="宋体" w:hAnsi="宋体" w:cs="宋体" w:hint="eastAsia"/>
          <w:b/>
          <w:bCs/>
          <w:snapToGrid w:val="0"/>
          <w:kern w:val="0"/>
          <w:szCs w:val="21"/>
          <w:highlight w:val="yellow"/>
        </w:rPr>
      </w:pPr>
      <w:r>
        <w:rPr>
          <w:rFonts w:ascii="宋体" w:eastAsia="宋体" w:hAnsi="宋体" w:cs="宋体" w:hint="eastAsia"/>
          <w:b/>
          <w:bCs/>
          <w:snapToGrid w:val="0"/>
          <w:kern w:val="0"/>
          <w:szCs w:val="21"/>
          <w:highlight w:val="yellow"/>
        </w:rPr>
        <w:t>1）年累计赔偿限额5000万元；2）其中每次事故累计赔偿限额1000万元，每次事故每人赔偿限额200万元，每次事故财产损失赔偿限额200万元。</w:t>
      </w:r>
    </w:p>
    <w:p>
      <w:pPr>
        <w:keepNext w:val="0"/>
        <w:keepLines w:val="0"/>
        <w:pageBreakBefore w:val="0"/>
        <w:widowControl w:val="0"/>
        <w:kinsoku/>
        <w:wordWrap/>
        <w:overflowPunct/>
        <w:topLinePunct w:val="0"/>
        <w:bidi w:val="0"/>
        <w:snapToGrid/>
        <w:spacing w:line="360" w:lineRule="auto"/>
        <w:ind w:firstLine="420"/>
        <w:rPr>
          <w:rFonts w:ascii="宋体" w:eastAsia="宋体" w:hAnsi="宋体" w:cs="宋体" w:hint="eastAsia"/>
          <w:color w:val="000000" w:themeColor="text1"/>
          <w:szCs w:val="21"/>
          <w:highlight w:val="none"/>
          <w14:textFill>
            <w14:solidFill>
              <w14:schemeClr w14:val="tx1"/>
            </w14:solidFill>
          </w14:textFill>
        </w:rPr>
      </w:pPr>
      <w:r>
        <w:rPr>
          <w:rFonts w:ascii="宋体" w:eastAsia="宋体" w:hAnsi="宋体" w:cs="宋体" w:hint="eastAsia"/>
          <w:b/>
          <w:bCs/>
          <w:snapToGrid w:val="0"/>
          <w:kern w:val="0"/>
          <w:szCs w:val="21"/>
          <w:highlight w:val="yellow"/>
        </w:rPr>
        <w:t>要求中标人需在中标后二十个工作日提供保单和发票复印件给采购人，作为第一笔款的付款依据，保单期限内不得退保。</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jc w:val="left"/>
        <w:textAlignment w:val="auto"/>
        <w:outlineLvl w:val="9"/>
        <w:rPr>
          <w:rFonts w:ascii="宋体" w:eastAsia="宋体" w:hAnsi="宋体" w:cs="宋体" w:hint="eastAsia"/>
          <w:color w:val="000000" w:themeColor="text1"/>
          <w:szCs w:val="21"/>
          <w14:textFill>
            <w14:solidFill>
              <w14:schemeClr w14:val="tx1"/>
            </w14:solidFill>
          </w14:textFill>
        </w:rPr>
      </w:pPr>
      <w:r>
        <w:rPr>
          <w:rFonts w:ascii="宋体" w:eastAsia="宋体" w:hAnsi="宋体" w:cs="宋体" w:hint="eastAsia"/>
          <w:szCs w:val="21"/>
        </w:rPr>
        <w:t>维修车辆配置要求如下：</w:t>
      </w:r>
      <w:r>
        <w:rPr>
          <w:rFonts w:ascii="宋体" w:eastAsia="宋体" w:hAnsi="宋体" w:cs="宋体" w:hint="eastAsia"/>
          <w:szCs w:val="21"/>
        </w:rPr>
        <w:t>由</w:t>
      </w:r>
      <w:r>
        <w:rPr>
          <w:rFonts w:ascii="宋体" w:eastAsia="宋体" w:hAnsi="宋体" w:cs="宋体" w:hint="eastAsia"/>
          <w:szCs w:val="21"/>
          <w:lang w:val="en-US" w:eastAsia="zh-CN"/>
        </w:rPr>
        <w:t>采购人</w:t>
      </w:r>
      <w:r>
        <w:rPr>
          <w:rFonts w:ascii="宋体" w:eastAsia="宋体" w:hAnsi="宋体" w:cs="宋体" w:hint="eastAsia"/>
          <w:szCs w:val="21"/>
        </w:rPr>
        <w:t>提供</w:t>
      </w:r>
      <w:r>
        <w:rPr>
          <w:rFonts w:ascii="宋体" w:hAnsi="宋体" w:cs="宋体" w:hint="eastAsia"/>
          <w:szCs w:val="21"/>
          <w:lang w:val="en-US" w:eastAsia="zh-CN"/>
        </w:rPr>
        <w:t>3</w:t>
      </w:r>
      <w:r>
        <w:rPr>
          <w:rFonts w:ascii="宋体" w:eastAsia="宋体" w:hAnsi="宋体" w:cs="宋体" w:hint="eastAsia"/>
          <w:szCs w:val="21"/>
        </w:rPr>
        <w:t>台巡查用车辆</w:t>
      </w:r>
      <w:r>
        <w:rPr>
          <w:rFonts w:ascii="宋体" w:eastAsia="宋体" w:hAnsi="宋体" w:cs="宋体" w:hint="eastAsia"/>
          <w:szCs w:val="21"/>
          <w:lang w:val="en-US" w:eastAsia="zh-CN"/>
        </w:rPr>
        <w:t>用于日常巡察工作</w:t>
      </w:r>
      <w:r>
        <w:rPr>
          <w:rFonts w:ascii="宋体" w:hAnsi="宋体" w:cs="宋体" w:hint="eastAsia"/>
          <w:szCs w:val="21"/>
          <w:lang w:val="en-US" w:eastAsia="zh-CN"/>
        </w:rPr>
        <w:t>（</w:t>
      </w:r>
      <w:r>
        <w:rPr>
          <w:rFonts w:ascii="宋体" w:eastAsia="宋体" w:hAnsi="宋体" w:cs="宋体" w:hint="eastAsia"/>
          <w:szCs w:val="21"/>
          <w:lang w:val="en-US" w:eastAsia="zh-CN"/>
        </w:rPr>
        <w:t>使用费用已由采购人在招标预算金额中扣除）</w:t>
      </w:r>
      <w:r>
        <w:rPr>
          <w:rFonts w:ascii="宋体" w:eastAsia="宋体" w:hAnsi="宋体" w:cs="宋体" w:hint="eastAsia"/>
          <w:szCs w:val="21"/>
          <w:lang w:eastAsia="zh-CN"/>
        </w:rPr>
        <w:t>。</w:t>
      </w:r>
      <w:r>
        <w:rPr>
          <w:rFonts w:ascii="新宋体" w:eastAsia="新宋体" w:hAnsi="新宋体" w:cs="宋体" w:hint="eastAsia"/>
          <w:snapToGrid w:val="0"/>
          <w:kern w:val="0"/>
          <w:szCs w:val="21"/>
        </w:rPr>
        <w:t>以上巡查车辆</w:t>
      </w:r>
      <w:r>
        <w:rPr>
          <w:rFonts w:ascii="新宋体" w:eastAsia="新宋体" w:hAnsi="新宋体" w:cs="宋体" w:hint="eastAsia"/>
          <w:snapToGrid w:val="0"/>
          <w:kern w:val="0"/>
          <w:szCs w:val="21"/>
          <w:lang w:eastAsia="zh-CN"/>
        </w:rPr>
        <w:t>仅用于本项目使用，</w:t>
      </w:r>
      <w:r>
        <w:rPr>
          <w:rFonts w:ascii="宋体" w:eastAsia="宋体" w:hAnsi="宋体" w:cs="宋体" w:hint="eastAsia"/>
          <w:szCs w:val="21"/>
        </w:rPr>
        <w:t>中标人负责车辆维修、违章处理、</w:t>
      </w:r>
      <w:r>
        <w:rPr>
          <w:rFonts w:ascii="宋体" w:eastAsia="宋体" w:hAnsi="宋体" w:cs="宋体" w:hint="eastAsia"/>
          <w:szCs w:val="21"/>
          <w:lang w:val="en-US" w:eastAsia="zh-CN"/>
        </w:rPr>
        <w:t>油费</w:t>
      </w:r>
      <w:r>
        <w:rPr>
          <w:rFonts w:ascii="宋体" w:eastAsia="宋体" w:hAnsi="宋体" w:cs="宋体" w:hint="eastAsia"/>
          <w:szCs w:val="21"/>
        </w:rPr>
        <w:t>等</w:t>
      </w:r>
      <w:r>
        <w:rPr>
          <w:rFonts w:ascii="宋体" w:eastAsia="宋体" w:hAnsi="宋体" w:cs="宋体" w:hint="eastAsia"/>
          <w:szCs w:val="21"/>
          <w:lang w:val="en-US" w:eastAsia="zh-CN"/>
        </w:rPr>
        <w:t>相关费用</w:t>
      </w:r>
      <w:r>
        <w:rPr>
          <w:rFonts w:ascii="宋体" w:eastAsia="宋体" w:hAnsi="宋体" w:cs="宋体" w:hint="eastAsia"/>
          <w:szCs w:val="21"/>
        </w:rPr>
        <w:t>，</w:t>
      </w:r>
      <w:r>
        <w:rPr>
          <w:rFonts w:ascii="宋体" w:eastAsia="宋体" w:hAnsi="宋体" w:cs="宋体" w:hint="eastAsia"/>
          <w:szCs w:val="21"/>
          <w:lang w:val="en-US" w:eastAsia="zh-CN"/>
        </w:rPr>
        <w:t>采购人负责车辆保险</w:t>
      </w:r>
      <w:r>
        <w:rPr>
          <w:rFonts w:ascii="宋体" w:hAnsi="宋体" w:cs="宋体" w:hint="eastAsia"/>
          <w:szCs w:val="21"/>
          <w:lang w:val="en-US" w:eastAsia="zh-CN"/>
        </w:rPr>
        <w:t>及车船税</w:t>
      </w:r>
      <w:r>
        <w:rPr>
          <w:rFonts w:ascii="宋体" w:eastAsia="宋体" w:hAnsi="宋体" w:cs="宋体" w:hint="eastAsia"/>
          <w:szCs w:val="21"/>
          <w:lang w:val="en-US" w:eastAsia="zh-CN"/>
        </w:rPr>
        <w:t>费用。在签订合同后，由采购人指定维修厂对车辆进行检查，采购人与中标人确认车辆无问题后交由中标人使用；</w:t>
      </w:r>
      <w:r>
        <w:rPr>
          <w:rFonts w:ascii="宋体" w:hAnsi="宋体" w:cs="宋体" w:hint="eastAsia"/>
          <w:szCs w:val="21"/>
          <w:lang w:val="en-US" w:eastAsia="zh-CN"/>
        </w:rPr>
        <w:t>合同期间，中标人需严格按照车辆保养手册对车辆进行保养；</w:t>
      </w:r>
      <w:r>
        <w:rPr>
          <w:rFonts w:ascii="宋体" w:eastAsia="宋体" w:hAnsi="宋体" w:cs="宋体" w:hint="eastAsia"/>
          <w:szCs w:val="21"/>
          <w:lang w:val="en-US" w:eastAsia="zh-CN"/>
        </w:rPr>
        <w:t>在合同结束后，在采购人指定维修厂对车辆进行检查，采购人与中标人确认车辆无问题后交还采购人。</w:t>
      </w:r>
      <w:r>
        <w:rPr>
          <w:rFonts w:ascii="宋体" w:eastAsia="宋体" w:hAnsi="宋体" w:cs="宋体" w:hint="eastAsia"/>
          <w:color w:val="000000" w:themeColor="text1"/>
          <w:szCs w:val="21"/>
          <w14:textFill>
            <w14:solidFill>
              <w14:schemeClr w14:val="tx1"/>
            </w14:solidFill>
          </w14:textFill>
        </w:rPr>
        <w:t>所有维护用车辆仅用于本维护合同范围内道路上路灯</w:t>
      </w:r>
      <w:r>
        <w:rPr>
          <w:rFonts w:ascii="宋体" w:eastAsia="宋体" w:hAnsi="宋体" w:cs="宋体" w:hint="eastAsia"/>
          <w:color w:val="000000" w:themeColor="text1"/>
          <w:szCs w:val="21"/>
          <w:lang w:val="en-US" w:eastAsia="zh-CN"/>
          <w14:textFill>
            <w14:solidFill>
              <w14:schemeClr w14:val="tx1"/>
            </w14:solidFill>
          </w14:textFill>
        </w:rPr>
        <w:t>设施</w:t>
      </w:r>
      <w:r>
        <w:rPr>
          <w:rFonts w:ascii="宋体" w:eastAsia="宋体" w:hAnsi="宋体" w:cs="宋体" w:hint="eastAsia"/>
          <w:color w:val="000000" w:themeColor="text1"/>
          <w:szCs w:val="21"/>
          <w14:textFill>
            <w14:solidFill>
              <w14:schemeClr w14:val="tx1"/>
            </w14:solidFill>
          </w14:textFill>
        </w:rPr>
        <w:t>维护作业，不得用于其他用途或超出区域使用。</w:t>
      </w:r>
    </w:p>
    <w:p>
      <w:pPr>
        <w:pStyle w:val="a"/>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eastAsia="宋体" w:hint="default"/>
          <w:lang w:val="en-US" w:eastAsia="zh-CN"/>
        </w:rPr>
      </w:pPr>
      <w:r>
        <w:rPr>
          <w:rFonts w:hint="eastAsia"/>
          <w:lang w:val="en-US" w:eastAsia="zh-CN"/>
        </w:rPr>
        <w:t xml:space="preserve">    </w:t>
      </w:r>
      <w:r>
        <w:rPr>
          <w:rFonts w:ascii="宋体" w:hAnsi="宋体" w:cs="宋体" w:hint="eastAsia"/>
          <w:sz w:val="21"/>
          <w:szCs w:val="21"/>
          <w:lang w:val="en-US" w:eastAsia="zh-CN"/>
        </w:rPr>
        <w:t>9</w:t>
      </w:r>
      <w:r>
        <w:rPr>
          <w:rFonts w:ascii="宋体" w:eastAsia="宋体" w:hAnsi="宋体" w:cs="宋体" w:hint="eastAsia"/>
          <w:sz w:val="21"/>
          <w:szCs w:val="21"/>
        </w:rPr>
        <w:t>、</w:t>
      </w:r>
      <w:r>
        <w:rPr>
          <w:rFonts w:ascii="宋体" w:eastAsia="宋体" w:hAnsi="宋体" w:cs="宋体" w:hint="eastAsia"/>
          <w:sz w:val="21"/>
          <w:szCs w:val="21"/>
          <w:lang w:val="en-US" w:eastAsia="zh-CN"/>
        </w:rPr>
        <w:t>本项目要求所有巡检员和巡查车辆配备智能定位终端设备，定位信息能够接入采购</w:t>
      </w:r>
      <w:r>
        <w:rPr>
          <w:rFonts w:ascii="宋体" w:hAnsi="宋体" w:cs="宋体" w:hint="eastAsia"/>
          <w:sz w:val="21"/>
          <w:szCs w:val="21"/>
          <w:lang w:val="en-US" w:eastAsia="zh-CN"/>
        </w:rPr>
        <w:t>人</w:t>
      </w:r>
      <w:r>
        <w:rPr>
          <w:rFonts w:ascii="宋体" w:eastAsia="宋体" w:hAnsi="宋体" w:cs="宋体" w:hint="eastAsia"/>
          <w:sz w:val="21"/>
          <w:szCs w:val="21"/>
          <w:lang w:val="en-US" w:eastAsia="zh-CN"/>
        </w:rPr>
        <w:t>现有信息系统，定位信息将作为维护作业监管和核算的依据，因不正确使用定位设备而造成维护作业监管核算的误差由</w:t>
      </w:r>
      <w:r>
        <w:rPr>
          <w:rFonts w:ascii="宋体" w:hAnsi="宋体" w:cs="宋体" w:hint="eastAsia"/>
          <w:sz w:val="21"/>
          <w:szCs w:val="21"/>
          <w:lang w:val="en-US" w:eastAsia="zh-CN"/>
        </w:rPr>
        <w:t>中标人</w:t>
      </w:r>
      <w:r>
        <w:rPr>
          <w:rFonts w:ascii="宋体" w:eastAsia="宋体" w:hAnsi="宋体" w:cs="宋体" w:hint="eastAsia"/>
          <w:sz w:val="21"/>
          <w:szCs w:val="21"/>
          <w:lang w:val="en-US" w:eastAsia="zh-CN"/>
        </w:rPr>
        <w:t>负责。</w:t>
      </w:r>
      <w:r>
        <w:rPr>
          <w:rFonts w:ascii="宋体" w:hAnsi="宋体" w:cs="宋体" w:hint="eastAsia"/>
          <w:sz w:val="21"/>
          <w:szCs w:val="21"/>
          <w:lang w:val="en-US" w:eastAsia="zh-CN"/>
        </w:rPr>
        <w:t>中标人</w:t>
      </w:r>
      <w:r>
        <w:rPr>
          <w:rFonts w:ascii="宋体" w:eastAsia="宋体" w:hAnsi="宋体" w:cs="宋体" w:hint="eastAsia"/>
          <w:sz w:val="21"/>
          <w:szCs w:val="21"/>
          <w:lang w:val="en-US" w:eastAsia="zh-CN"/>
        </w:rPr>
        <w:t>需自购符合要求的定位设备统一接入采购</w:t>
      </w:r>
      <w:r>
        <w:rPr>
          <w:rFonts w:ascii="宋体" w:hAnsi="宋体" w:cs="宋体" w:hint="eastAsia"/>
          <w:sz w:val="21"/>
          <w:szCs w:val="21"/>
          <w:lang w:val="en-US" w:eastAsia="zh-CN"/>
        </w:rPr>
        <w:t>人</w:t>
      </w:r>
      <w:r>
        <w:rPr>
          <w:rFonts w:ascii="宋体" w:eastAsia="宋体" w:hAnsi="宋体" w:cs="宋体" w:hint="eastAsia"/>
          <w:sz w:val="21"/>
          <w:szCs w:val="21"/>
          <w:lang w:val="en-US" w:eastAsia="zh-CN"/>
        </w:rPr>
        <w:t>信息系统进行统一管理。</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hAnsi="宋体" w:cs="宋体" w:hint="eastAsia"/>
          <w:szCs w:val="21"/>
          <w:lang w:val="en-US" w:eastAsia="zh-CN"/>
        </w:rPr>
        <w:t>10</w:t>
      </w:r>
      <w:r>
        <w:rPr>
          <w:rFonts w:ascii="宋体" w:eastAsia="宋体" w:hAnsi="宋体" w:cs="宋体" w:hint="eastAsia"/>
          <w:szCs w:val="21"/>
        </w:rPr>
        <w:t>、仪器设备配置要求：高压电缆故障测试仪、电缆路径探测仪及耐压测试仪各2台，</w:t>
      </w:r>
      <w:r>
        <w:rPr>
          <w:rFonts w:ascii="宋体" w:eastAsia="宋体" w:hAnsi="宋体" w:cs="宋体" w:hint="eastAsia"/>
          <w:sz w:val="21"/>
          <w:szCs w:val="21"/>
          <w:lang w:val="en-US" w:eastAsia="zh-CN"/>
        </w:rPr>
        <w:t>RTK定位仪</w:t>
      </w:r>
      <w:r>
        <w:rPr>
          <w:rFonts w:ascii="宋体" w:hAnsi="宋体" w:cs="宋体" w:hint="eastAsia"/>
          <w:sz w:val="21"/>
          <w:szCs w:val="21"/>
          <w:lang w:val="en-US" w:eastAsia="zh-CN"/>
        </w:rPr>
        <w:t>1台，</w:t>
      </w:r>
      <w:r>
        <w:rPr>
          <w:rFonts w:ascii="宋体" w:eastAsia="宋体" w:hAnsi="宋体" w:cs="宋体" w:hint="eastAsia"/>
          <w:szCs w:val="21"/>
        </w:rPr>
        <w:t>红外</w:t>
      </w:r>
      <w:r>
        <w:rPr>
          <w:rFonts w:ascii="宋体" w:hAnsi="宋体" w:cs="宋体" w:hint="eastAsia"/>
          <w:szCs w:val="21"/>
          <w:lang w:eastAsia="zh-CN"/>
        </w:rPr>
        <w:t>热成像</w:t>
      </w:r>
      <w:r>
        <w:rPr>
          <w:rFonts w:ascii="宋体" w:eastAsia="宋体" w:hAnsi="宋体" w:cs="宋体" w:hint="eastAsia"/>
          <w:szCs w:val="21"/>
        </w:rPr>
        <w:t>仪5台。其它小型工具（手电筒、安全手套、安全帽、安全鞋、高空作业安全绳、钳子、梯子等）由中标人根据项目实际配备，必须满足管养工作需要。</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hAnsi="宋体" w:cs="宋体" w:hint="eastAsia"/>
          <w:szCs w:val="21"/>
          <w:lang w:val="en-US" w:eastAsia="zh-CN"/>
        </w:rPr>
        <w:t>11</w:t>
      </w:r>
      <w:r>
        <w:rPr>
          <w:rFonts w:ascii="宋体" w:eastAsia="宋体" w:hAnsi="宋体" w:cs="宋体" w:hint="eastAsia"/>
          <w:szCs w:val="21"/>
        </w:rPr>
        <w:t>、在符合以上人员、车辆和设备配置要求的基础上，如仍无法满足项目现场实际工作需要，中标人需根据项目实际情况随时增加人员、车辆和设备，以保证项目的执行。</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b/>
          <w:color w:val="000000"/>
          <w:szCs w:val="21"/>
        </w:rPr>
      </w:pPr>
      <w:r>
        <w:rPr>
          <w:rFonts w:ascii="宋体" w:eastAsia="宋体" w:hAnsi="宋体" w:cs="宋体" w:hint="eastAsia"/>
          <w:b/>
          <w:color w:val="000000"/>
          <w:szCs w:val="21"/>
        </w:rPr>
        <w:t>2.管理要求</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napToGrid w:val="0"/>
          <w:color w:val="000000"/>
          <w:kern w:val="0"/>
          <w:szCs w:val="21"/>
        </w:rPr>
      </w:pPr>
      <w:r>
        <w:rPr>
          <w:rFonts w:ascii="宋体" w:eastAsia="宋体" w:hAnsi="宋体" w:cs="宋体" w:hint="eastAsia"/>
          <w:szCs w:val="21"/>
        </w:rPr>
        <w:t>1、</w:t>
      </w:r>
      <w:r>
        <w:rPr>
          <w:rFonts w:ascii="宋体" w:eastAsia="宋体" w:hAnsi="宋体" w:cs="宋体" w:hint="eastAsia"/>
          <w:snapToGrid w:val="0"/>
          <w:color w:val="000000"/>
          <w:kern w:val="0"/>
          <w:szCs w:val="21"/>
        </w:rPr>
        <w:t>每月25日由中标人项目经理组织工作例会向采购人汇报当月工作完成情况、存在问题及下月工作安排。</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napToGrid w:val="0"/>
          <w:color w:val="000000"/>
          <w:kern w:val="0"/>
          <w:szCs w:val="21"/>
        </w:rPr>
      </w:pPr>
      <w:r>
        <w:rPr>
          <w:rFonts w:ascii="宋体" w:eastAsia="宋体" w:hAnsi="宋体" w:cs="宋体" w:hint="eastAsia"/>
          <w:snapToGrid w:val="0"/>
          <w:color w:val="000000"/>
          <w:kern w:val="0"/>
          <w:szCs w:val="21"/>
        </w:rPr>
        <w:t>每季度由安全主管组织一次维护人员安全培训，未组织召开或安全主管未参加的</w:t>
      </w:r>
      <w:r>
        <w:rPr>
          <w:rFonts w:ascii="宋体" w:hAnsi="宋体" w:cs="宋体" w:hint="default"/>
          <w:snapToGrid w:val="0"/>
          <w:color w:val="000000"/>
          <w:kern w:val="0"/>
          <w:szCs w:val="21"/>
        </w:rPr>
        <w:t>，</w:t>
      </w:r>
      <w:r>
        <w:rPr>
          <w:rFonts w:ascii="宋体" w:hAnsi="宋体" w:cs="宋体" w:hint="eastAsia"/>
          <w:snapToGrid w:val="0"/>
          <w:color w:val="000000"/>
          <w:kern w:val="0"/>
          <w:szCs w:val="21"/>
          <w:lang w:val="en-US"/>
        </w:rPr>
        <w:t>罚款</w:t>
      </w:r>
      <w:r>
        <w:rPr>
          <w:rFonts w:ascii="宋体" w:eastAsia="宋体" w:hAnsi="宋体" w:cs="宋体" w:hint="eastAsia"/>
          <w:snapToGrid w:val="0"/>
          <w:color w:val="000000"/>
          <w:kern w:val="0"/>
          <w:szCs w:val="21"/>
        </w:rPr>
        <w:t>10000元</w:t>
      </w:r>
      <w:r>
        <w:rPr>
          <w:rFonts w:ascii="宋体" w:hAnsi="宋体" w:cs="宋体" w:hint="default"/>
          <w:snapToGrid w:val="0"/>
          <w:color w:val="000000"/>
          <w:kern w:val="0"/>
          <w:szCs w:val="21"/>
        </w:rPr>
        <w:t>，</w:t>
      </w:r>
      <w:r>
        <w:rPr>
          <w:rFonts w:ascii="宋体" w:eastAsia="宋体" w:hAnsi="宋体" w:cs="宋体" w:hint="eastAsia"/>
          <w:szCs w:val="21"/>
        </w:rPr>
        <w:t>在维护费支付时予以扣除</w:t>
      </w:r>
      <w:r>
        <w:rPr>
          <w:rFonts w:ascii="宋体" w:eastAsia="宋体" w:hAnsi="宋体" w:cs="宋体" w:hint="eastAsia"/>
          <w:snapToGrid w:val="0"/>
          <w:color w:val="000000"/>
          <w:kern w:val="0"/>
          <w:szCs w:val="21"/>
        </w:rPr>
        <w:t>。</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napToGrid w:val="0"/>
          <w:color w:val="000000"/>
          <w:kern w:val="0"/>
          <w:szCs w:val="21"/>
        </w:rPr>
      </w:pPr>
      <w:r>
        <w:rPr>
          <w:rFonts w:ascii="宋体" w:eastAsia="宋体" w:hAnsi="宋体" w:cs="宋体" w:hint="eastAsia"/>
          <w:snapToGrid w:val="0"/>
          <w:color w:val="000000"/>
          <w:kern w:val="0"/>
          <w:szCs w:val="21"/>
        </w:rPr>
        <w:t>采购人组织的全体维护公司的工作会议需由维护单位的法人代表参加；采购人还将不定期约谈维护单位法定代表人。维护单位法定代表人至少每季度对标段进行现场巡查一次。</w:t>
      </w:r>
    </w:p>
    <w:p>
      <w:pPr>
        <w:keepNext w:val="0"/>
        <w:keepLines w:val="0"/>
        <w:pageBreakBefore w:val="0"/>
        <w:widowControl w:val="0"/>
        <w:numPr>
          <w:ilvl w:val="255"/>
          <w:numId w:val="0"/>
        </w:numPr>
        <w:kinsoku/>
        <w:wordWrap/>
        <w:overflowPunct/>
        <w:topLinePunct w:val="0"/>
        <w:bidi w:val="0"/>
        <w:snapToGrid/>
        <w:spacing w:line="360" w:lineRule="auto"/>
        <w:ind w:firstLine="420" w:firstLineChars="200"/>
        <w:jc w:val="left"/>
        <w:rPr>
          <w:rFonts w:ascii="宋体" w:eastAsia="宋体" w:hAnsi="宋体" w:cs="宋体" w:hint="eastAsia"/>
          <w:snapToGrid w:val="0"/>
          <w:color w:val="000000"/>
          <w:kern w:val="0"/>
          <w:szCs w:val="21"/>
        </w:rPr>
      </w:pPr>
      <w:r>
        <w:rPr>
          <w:rFonts w:ascii="宋体" w:hAnsi="宋体" w:cs="宋体" w:hint="eastAsia"/>
          <w:snapToGrid w:val="0"/>
          <w:color w:val="000000"/>
          <w:kern w:val="0"/>
          <w:szCs w:val="21"/>
          <w:lang w:val="en-US" w:eastAsia="zh-CN"/>
        </w:rPr>
        <w:t>2</w:t>
      </w:r>
      <w:r>
        <w:rPr>
          <w:rFonts w:ascii="宋体" w:eastAsia="宋体" w:hAnsi="宋体" w:cs="宋体" w:hint="eastAsia"/>
          <w:szCs w:val="21"/>
        </w:rPr>
        <w:t>、</w:t>
      </w:r>
      <w:r>
        <w:rPr>
          <w:rFonts w:ascii="宋体" w:eastAsia="宋体" w:hAnsi="宋体" w:cs="宋体" w:hint="eastAsia"/>
          <w:snapToGrid w:val="0"/>
          <w:color w:val="000000"/>
          <w:kern w:val="0"/>
          <w:szCs w:val="21"/>
        </w:rPr>
        <w:t>中标人按照国家现行的标准、规范和规程进行维修、保养，根据采购人提出的技术要求，对维修养护质量负责。中标人在维修、养护中所更换的设施需按所在位置原设施的技术指标恢复原状。</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b/>
          <w:snapToGrid w:val="0"/>
          <w:color w:val="000000"/>
          <w:kern w:val="0"/>
          <w:szCs w:val="21"/>
        </w:rPr>
      </w:pPr>
      <w:r>
        <w:rPr>
          <w:rFonts w:ascii="宋体" w:eastAsia="宋体" w:hAnsi="宋体" w:cs="宋体" w:hint="eastAsia"/>
          <w:color w:val="000000"/>
          <w:szCs w:val="21"/>
        </w:rPr>
        <w:t>3</w:t>
      </w:r>
      <w:r>
        <w:rPr>
          <w:rFonts w:ascii="宋体" w:eastAsia="宋体" w:hAnsi="宋体" w:cs="宋体" w:hint="eastAsia"/>
          <w:szCs w:val="21"/>
        </w:rPr>
        <w:t>、</w:t>
      </w:r>
      <w:r>
        <w:rPr>
          <w:rFonts w:ascii="宋体" w:eastAsia="宋体" w:hAnsi="宋体" w:cs="宋体" w:hint="eastAsia"/>
          <w:color w:val="000000"/>
          <w:szCs w:val="21"/>
        </w:rPr>
        <w:t>中标人需</w:t>
      </w:r>
      <w:r>
        <w:rPr>
          <w:rFonts w:ascii="宋体" w:eastAsia="宋体" w:hAnsi="宋体" w:cs="宋体" w:hint="eastAsia"/>
          <w:snapToGrid w:val="0"/>
          <w:color w:val="000000"/>
          <w:kern w:val="0"/>
          <w:szCs w:val="21"/>
        </w:rPr>
        <w:t>按国家有关安全条例的规定对各种作业采取有效的安全保障措施，确保人员、机具、设施的安全及第三方的安全，</w:t>
      </w:r>
      <w:r>
        <w:rPr>
          <w:rFonts w:ascii="宋体" w:eastAsia="宋体" w:hAnsi="宋体" w:cs="宋体" w:hint="eastAsia"/>
          <w:color w:val="000000"/>
          <w:szCs w:val="21"/>
        </w:rPr>
        <w:t>落实安全生产措施，强化安全生产教育、培训和管理，且应按采购人的要求，为上岗工人配置统一的专用维护工作服、反光衣、安全帽、绝缘鞋等安全防护设备，自行解决安全作业问题。</w:t>
      </w:r>
      <w:r>
        <w:rPr>
          <w:rFonts w:ascii="宋体" w:eastAsia="宋体" w:hAnsi="宋体" w:cs="宋体" w:hint="eastAsia"/>
          <w:szCs w:val="21"/>
        </w:rPr>
        <w:t>作业时，工作人员必须统一穿着反光衣及工作服并持工作证、入网作业证及电工证上岗，</w:t>
      </w:r>
      <w:r>
        <w:rPr>
          <w:rFonts w:ascii="宋体" w:eastAsia="宋体" w:hAnsi="宋体" w:cs="宋体" w:hint="eastAsia"/>
          <w:color w:val="000000"/>
          <w:szCs w:val="21"/>
        </w:rPr>
        <w:t>在进行维护作业时认真负责，严格遵守操作规程和安全生产管理制度。中标人需为维护人员在维护工程服务期限结束前购买社保及人身意外保险。如发生任何安全事故或意外事件，中标人承担全部法律和经济责任，采购人不承担任何责任。</w:t>
      </w:r>
      <w:r>
        <w:rPr>
          <w:rFonts w:ascii="宋体" w:eastAsia="宋体" w:hAnsi="宋体" w:cs="宋体" w:hint="eastAsia"/>
          <w:snapToGrid w:val="0"/>
          <w:color w:val="000000"/>
          <w:kern w:val="0"/>
          <w:szCs w:val="21"/>
        </w:rPr>
        <w:t>任何因中标人引起的纠纷或损毁事故概由中标人负责解决及承担全部费用及法律责任，发生的</w:t>
      </w:r>
      <w:r>
        <w:rPr>
          <w:rFonts w:ascii="宋体" w:hAnsi="宋体" w:cs="宋体" w:hint="eastAsia"/>
          <w:snapToGrid w:val="0"/>
          <w:color w:val="000000"/>
          <w:kern w:val="0"/>
          <w:szCs w:val="21"/>
          <w:lang w:val="en-US" w:eastAsia="zh-CN"/>
        </w:rPr>
        <w:t>电力</w:t>
      </w:r>
      <w:r>
        <w:rPr>
          <w:rFonts w:ascii="宋体" w:eastAsia="宋体" w:hAnsi="宋体" w:cs="宋体" w:hint="eastAsia"/>
          <w:snapToGrid w:val="0"/>
          <w:color w:val="000000"/>
          <w:kern w:val="0"/>
          <w:szCs w:val="21"/>
        </w:rPr>
        <w:t>事故一切责任及造成的损失由中标人负责。</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color w:val="000000"/>
          <w:szCs w:val="21"/>
        </w:rPr>
      </w:pPr>
      <w:r>
        <w:rPr>
          <w:rFonts w:ascii="宋体" w:eastAsia="宋体" w:hAnsi="宋体" w:cs="宋体" w:hint="eastAsia"/>
          <w:color w:val="000000"/>
          <w:szCs w:val="21"/>
        </w:rPr>
        <w:t>4</w:t>
      </w:r>
      <w:r>
        <w:rPr>
          <w:rFonts w:ascii="宋体" w:eastAsia="宋体" w:hAnsi="宋体" w:cs="宋体" w:hint="eastAsia"/>
          <w:szCs w:val="21"/>
        </w:rPr>
        <w:t>、</w:t>
      </w:r>
      <w:r>
        <w:rPr>
          <w:rFonts w:ascii="宋体" w:eastAsia="宋体" w:hAnsi="宋体" w:cs="宋体" w:hint="eastAsia"/>
          <w:color w:val="000000"/>
          <w:szCs w:val="21"/>
        </w:rPr>
        <w:t>中标人应严格遵守国家法律、法规，中标人员工在维护工作中如有违法乱纪的行为，对他人或采购人造成损失的，中标人应承担一切经济责任和法律责任。</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color w:val="000000"/>
          <w:szCs w:val="21"/>
        </w:rPr>
      </w:pPr>
      <w:r>
        <w:rPr>
          <w:rFonts w:ascii="宋体" w:eastAsia="宋体" w:hAnsi="宋体" w:cs="宋体" w:hint="eastAsia"/>
          <w:color w:val="000000"/>
          <w:szCs w:val="21"/>
        </w:rPr>
        <w:t>5</w:t>
      </w:r>
      <w:r>
        <w:rPr>
          <w:rFonts w:ascii="宋体" w:eastAsia="宋体" w:hAnsi="宋体" w:cs="宋体" w:hint="eastAsia"/>
          <w:szCs w:val="21"/>
        </w:rPr>
        <w:t>、</w:t>
      </w:r>
      <w:r>
        <w:rPr>
          <w:rFonts w:ascii="宋体" w:eastAsia="宋体" w:hAnsi="宋体" w:cs="宋体" w:hint="eastAsia"/>
          <w:color w:val="000000"/>
          <w:szCs w:val="21"/>
        </w:rPr>
        <w:t>因维护工作需要，如需办理交警、绿化、供电、交委、煤气等有关部门的手续，由中标人负责办理并承担全部费用。在维护中涉及道路占道等费用的由中标人负责支付，且中标人需负责场地恢复原状。</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color w:val="000000"/>
          <w:szCs w:val="21"/>
        </w:rPr>
      </w:pPr>
      <w:r>
        <w:rPr>
          <w:rFonts w:ascii="宋体" w:eastAsia="宋体" w:hAnsi="宋体" w:cs="宋体" w:hint="eastAsia"/>
          <w:color w:val="000000"/>
          <w:szCs w:val="21"/>
        </w:rPr>
        <w:t>6</w:t>
      </w:r>
      <w:r>
        <w:rPr>
          <w:rFonts w:ascii="宋体" w:eastAsia="宋体" w:hAnsi="宋体" w:cs="宋体" w:hint="eastAsia"/>
          <w:szCs w:val="21"/>
        </w:rPr>
        <w:t>、</w:t>
      </w:r>
      <w:r>
        <w:rPr>
          <w:rFonts w:ascii="宋体" w:eastAsia="宋体" w:hAnsi="宋体" w:cs="宋体" w:hint="eastAsia"/>
          <w:color w:val="000000"/>
          <w:szCs w:val="21"/>
        </w:rPr>
        <w:t>中标人无故停止工作,采购人有权按损失程度扣减维护费,并处以中标人合同总额3％的违约金，在履约保证金中扣除。若无故停工累计达7天，采购人有</w:t>
      </w:r>
      <w:r>
        <w:rPr>
          <w:rFonts w:ascii="宋体" w:eastAsia="宋体" w:hAnsi="宋体" w:cs="宋体" w:hint="eastAsia"/>
          <w:szCs w:val="21"/>
        </w:rPr>
        <w:t>权报财政局审批后与中标人解除合同。</w:t>
      </w:r>
      <w:r>
        <w:rPr>
          <w:rFonts w:ascii="宋体" w:eastAsia="宋体" w:hAnsi="宋体" w:cs="宋体" w:hint="eastAsia"/>
          <w:color w:val="000000"/>
          <w:szCs w:val="21"/>
        </w:rPr>
        <w:t>并由中标人承担全部损失。</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color w:val="000000"/>
          <w:szCs w:val="21"/>
        </w:rPr>
      </w:pPr>
      <w:r>
        <w:rPr>
          <w:rFonts w:ascii="宋体" w:eastAsia="宋体" w:hAnsi="宋体" w:cs="宋体" w:hint="eastAsia"/>
          <w:color w:val="000000"/>
          <w:szCs w:val="21"/>
        </w:rPr>
        <w:t>7</w:t>
      </w:r>
      <w:r>
        <w:rPr>
          <w:rFonts w:ascii="宋体" w:eastAsia="宋体" w:hAnsi="宋体" w:cs="宋体" w:hint="eastAsia"/>
          <w:szCs w:val="21"/>
        </w:rPr>
        <w:t>、</w:t>
      </w:r>
      <w:r>
        <w:rPr>
          <w:rFonts w:ascii="宋体" w:eastAsia="宋体" w:hAnsi="宋体" w:cs="宋体" w:hint="eastAsia"/>
          <w:color w:val="000000"/>
          <w:szCs w:val="21"/>
        </w:rPr>
        <w:t>实施过程中中标人需根据承包合同中的各项条款，履行各项职责。应做好日常维护，保养记录的统计汇总，并安排好每日的维护工作(即制定每日维护计划)。维护各类报表应在采购人城市照明精细化管理信息系统里按要求按时填报。在日常维修中，需做到维修故障点维修前、后、维修现场拍照存档，建立完整的维修检修档案。</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8、中标人需积极响应并接受上级领导的监督检查，若受到采购人上级领导的批评，经调查认定情况属实的，视情节轻重予以罚款；造成恶劣影响的，采购人有权报财政局审批后终止合同。中标人需随时、随地接受广大市民的监督，若受到市民的投诉，经调查认定情况属实的，视情节轻重予以罚款；造成恶劣影响的，</w:t>
      </w:r>
      <w:r>
        <w:rPr>
          <w:rFonts w:ascii="宋体" w:eastAsia="宋体" w:hAnsi="宋体" w:cs="宋体" w:hint="eastAsia"/>
          <w:color w:val="000000"/>
          <w:szCs w:val="21"/>
        </w:rPr>
        <w:t>采购人有</w:t>
      </w:r>
      <w:r>
        <w:rPr>
          <w:rFonts w:ascii="宋体" w:eastAsia="宋体" w:hAnsi="宋体" w:cs="宋体" w:hint="eastAsia"/>
          <w:szCs w:val="21"/>
        </w:rPr>
        <w:t>权报财政局审批后与中标人解除合同。</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zCs w:val="21"/>
        </w:rPr>
      </w:pPr>
      <w:r>
        <w:rPr>
          <w:rFonts w:ascii="宋体" w:eastAsia="宋体" w:hAnsi="宋体" w:cs="宋体" w:hint="eastAsia"/>
          <w:szCs w:val="21"/>
        </w:rPr>
        <w:t>9、设置24小时报障电话值班制度，并于接报障后60分钟内常驻维护人员到场处理。维修时间如遇特殊情况的，需按采购人要求时间到位并进行修复。中标人应设立节假日值班及故障抢修制度，发现问题要及时记录和检修，因各种原因被损坏或被盗的，需按时修复。</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napToGrid w:val="0"/>
          <w:kern w:val="0"/>
          <w:szCs w:val="21"/>
        </w:rPr>
      </w:pPr>
      <w:r>
        <w:rPr>
          <w:rFonts w:ascii="宋体" w:eastAsia="宋体" w:hAnsi="宋体" w:cs="宋体" w:hint="eastAsia"/>
          <w:szCs w:val="21"/>
        </w:rPr>
        <w:t>10、中标人在签订维护合同前，需提供投标文件中所投维护材料的采购合同报采购人备案（包括辅助材料），并在维护中严格遵守品牌承诺；如在维护工作中采购人认为中标人的材料不能满足维护工作需要，可要求中标人更换经采购人认可产品，中标人需无条件更换。若采购人在维护期间进行维护材料抽检时发现中标人未按照备案的维护材料进行维修更换，将按照监管措施进行处罚。</w:t>
      </w:r>
      <w:r>
        <w:rPr>
          <w:rFonts w:ascii="宋体" w:eastAsia="宋体" w:hAnsi="宋体" w:cs="宋体" w:hint="eastAsia"/>
          <w:snapToGrid w:val="0"/>
          <w:kern w:val="0"/>
          <w:szCs w:val="21"/>
        </w:rPr>
        <w:t>维修、养护中箱变内设施及配件的更换需按照原有设施及配件的品牌或</w:t>
      </w:r>
      <w:r>
        <w:rPr>
          <w:rFonts w:ascii="宋体" w:eastAsia="宋体" w:hAnsi="宋体" w:cs="宋体" w:hint="eastAsia"/>
          <w:szCs w:val="21"/>
        </w:rPr>
        <w:t>经采购人认可产品</w:t>
      </w:r>
      <w:r>
        <w:rPr>
          <w:rFonts w:ascii="宋体" w:eastAsia="宋体" w:hAnsi="宋体" w:cs="宋体" w:hint="eastAsia"/>
          <w:snapToGrid w:val="0"/>
          <w:kern w:val="0"/>
          <w:szCs w:val="21"/>
        </w:rPr>
        <w:t>进行更换。中标人每日维修更换的材料需现场拍照留底并交给采购人，采购人可随机抽查更换的材料是否与报告一致。</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zCs w:val="21"/>
        </w:rPr>
      </w:pPr>
      <w:r>
        <w:rPr>
          <w:rFonts w:ascii="宋体" w:eastAsia="宋体" w:hAnsi="宋体" w:cs="宋体" w:hint="eastAsia"/>
          <w:szCs w:val="21"/>
        </w:rPr>
        <w:t>11</w:t>
      </w:r>
      <w:r>
        <w:rPr>
          <w:rFonts w:ascii="宋体" w:eastAsia="宋体" w:hAnsi="宋体" w:cs="宋体" w:hint="eastAsia"/>
          <w:szCs w:val="21"/>
        </w:rPr>
        <w:t>、</w:t>
      </w:r>
      <w:r>
        <w:rPr>
          <w:rFonts w:ascii="宋体" w:eastAsia="宋体" w:hAnsi="宋体" w:cs="宋体" w:hint="eastAsia"/>
          <w:szCs w:val="21"/>
        </w:rPr>
        <w:t>中标人在维护合同结束时，需要由采购方、中标人、下一合同年度中标人共同对维护范围内的高压设施进行交接，如</w:t>
      </w:r>
      <w:r>
        <w:rPr>
          <w:rFonts w:ascii="宋体" w:eastAsia="宋体" w:hAnsi="宋体" w:cs="宋体" w:hint="eastAsia"/>
          <w:bCs/>
          <w:szCs w:val="21"/>
        </w:rPr>
        <w:t>因本次维护方责任造成设施损坏的，要进行修复，并且还要按照考核办法、监管标准扣除维护费用、履约保证金。</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b/>
          <w:snapToGrid w:val="0"/>
          <w:kern w:val="0"/>
          <w:szCs w:val="21"/>
        </w:rPr>
      </w:pPr>
      <w:r>
        <w:rPr>
          <w:rFonts w:ascii="宋体" w:eastAsia="宋体" w:hAnsi="宋体" w:cs="宋体" w:hint="eastAsia"/>
          <w:szCs w:val="21"/>
        </w:rPr>
        <w:t>12</w:t>
      </w:r>
      <w:r>
        <w:rPr>
          <w:rFonts w:ascii="宋体" w:eastAsia="宋体" w:hAnsi="宋体" w:cs="宋体" w:hint="eastAsia"/>
          <w:szCs w:val="21"/>
        </w:rPr>
        <w:t>、</w:t>
      </w:r>
      <w:r>
        <w:rPr>
          <w:rFonts w:ascii="宋体" w:eastAsia="宋体" w:hAnsi="宋体" w:cs="宋体" w:hint="eastAsia"/>
          <w:snapToGrid w:val="0"/>
          <w:kern w:val="0"/>
          <w:szCs w:val="21"/>
        </w:rPr>
        <w:t>政府如有大型活动，中标人应积极配合招标方的相应工作。每逢法定节日（含元旦、春节、五一、国庆等）及迎检活动，中标人需无条件服从采购方组织的突击性任务，按时、按标准、按要求完成采购方所分配的工作。</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zCs w:val="21"/>
        </w:rPr>
      </w:pPr>
      <w:r>
        <w:rPr>
          <w:rFonts w:ascii="宋体" w:eastAsia="宋体" w:hAnsi="宋体" w:cs="宋体" w:hint="eastAsia"/>
          <w:szCs w:val="21"/>
        </w:rPr>
        <w:t>13</w:t>
      </w:r>
      <w:r>
        <w:rPr>
          <w:rFonts w:ascii="宋体" w:eastAsia="宋体" w:hAnsi="宋体" w:cs="宋体" w:hint="eastAsia"/>
          <w:szCs w:val="21"/>
        </w:rPr>
        <w:t>、</w:t>
      </w:r>
      <w:r>
        <w:rPr>
          <w:rFonts w:ascii="宋体" w:eastAsia="宋体" w:hAnsi="宋体" w:cs="宋体" w:hint="eastAsia"/>
          <w:szCs w:val="21"/>
        </w:rPr>
        <w:t>台风、</w:t>
      </w:r>
      <w:r>
        <w:rPr>
          <w:rFonts w:ascii="宋体" w:eastAsia="宋体" w:hAnsi="宋体" w:cs="宋体" w:hint="eastAsia"/>
          <w:szCs w:val="21"/>
          <w:lang w:val="en-US" w:eastAsia="zh-CN"/>
        </w:rPr>
        <w:t>汛期</w:t>
      </w:r>
      <w:r>
        <w:rPr>
          <w:rFonts w:ascii="宋体" w:eastAsia="宋体" w:hAnsi="宋体" w:cs="宋体" w:hint="eastAsia"/>
          <w:szCs w:val="21"/>
        </w:rPr>
        <w:t>、节假日应加强巡查，做好安全措施，并有应急抢修人员随时做好准备，并制定应急预案。</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zCs w:val="21"/>
        </w:rPr>
      </w:pPr>
      <w:r>
        <w:rPr>
          <w:rFonts w:ascii="宋体" w:eastAsia="宋体" w:hAnsi="宋体" w:cs="宋体" w:hint="eastAsia"/>
          <w:szCs w:val="21"/>
        </w:rPr>
        <w:t>14</w:t>
      </w:r>
      <w:r>
        <w:rPr>
          <w:rFonts w:ascii="宋体" w:eastAsia="宋体" w:hAnsi="宋体" w:cs="宋体" w:hint="eastAsia"/>
          <w:szCs w:val="21"/>
        </w:rPr>
        <w:t>、</w:t>
      </w:r>
      <w:r>
        <w:rPr>
          <w:rFonts w:ascii="宋体" w:eastAsia="宋体" w:hAnsi="宋体" w:cs="宋体" w:hint="eastAsia"/>
          <w:szCs w:val="21"/>
        </w:rPr>
        <w:t>中标人有义务随时巡查辖区，并上报、制止辖区内未经采购方同意的可能损坏到</w:t>
      </w:r>
      <w:r>
        <w:rPr>
          <w:rFonts w:ascii="宋体" w:hAnsi="宋体" w:cs="宋体" w:hint="eastAsia"/>
          <w:szCs w:val="21"/>
          <w:lang w:val="en-US" w:eastAsia="zh-CN"/>
        </w:rPr>
        <w:t>高压设施</w:t>
      </w:r>
      <w:r>
        <w:rPr>
          <w:rFonts w:ascii="宋体" w:eastAsia="宋体" w:hAnsi="宋体" w:cs="宋体" w:hint="eastAsia"/>
          <w:szCs w:val="21"/>
        </w:rPr>
        <w:t>的行为。</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bCs/>
          <w:szCs w:val="21"/>
        </w:rPr>
      </w:pPr>
      <w:r>
        <w:rPr>
          <w:rFonts w:ascii="宋体" w:eastAsia="宋体" w:hAnsi="宋体" w:cs="宋体" w:hint="eastAsia"/>
          <w:bCs/>
          <w:szCs w:val="21"/>
        </w:rPr>
        <w:t>15</w:t>
      </w:r>
      <w:r>
        <w:rPr>
          <w:rFonts w:ascii="宋体" w:eastAsia="宋体" w:hAnsi="宋体" w:cs="宋体" w:hint="eastAsia"/>
          <w:szCs w:val="21"/>
        </w:rPr>
        <w:t>、</w:t>
      </w:r>
      <w:r>
        <w:rPr>
          <w:rFonts w:ascii="宋体" w:eastAsia="宋体" w:hAnsi="宋体" w:cs="宋体" w:hint="eastAsia"/>
          <w:bCs/>
          <w:szCs w:val="21"/>
        </w:rPr>
        <w:t>如有需停电检修的情况，应提前1个工作日与采购方联系备案，同意后</w:t>
      </w:r>
      <w:r>
        <w:rPr>
          <w:rFonts w:ascii="宋体" w:eastAsia="宋体" w:hAnsi="宋体" w:cs="宋体" w:hint="eastAsia"/>
          <w:bCs/>
          <w:szCs w:val="21"/>
          <w:lang w:val="en-US" w:eastAsia="zh-CN"/>
        </w:rPr>
        <w:t>需</w:t>
      </w:r>
      <w:r>
        <w:rPr>
          <w:rFonts w:ascii="宋体" w:eastAsia="宋体" w:hAnsi="宋体" w:cs="宋体" w:hint="eastAsia"/>
          <w:bCs/>
          <w:szCs w:val="21"/>
        </w:rPr>
        <w:t>通知相关单位如交警等。</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bCs/>
          <w:szCs w:val="21"/>
        </w:rPr>
      </w:pPr>
      <w:r>
        <w:rPr>
          <w:rFonts w:ascii="宋体" w:eastAsia="宋体" w:hAnsi="宋体" w:cs="宋体" w:hint="eastAsia"/>
          <w:bCs/>
          <w:szCs w:val="21"/>
        </w:rPr>
        <w:t>16</w:t>
      </w:r>
      <w:r>
        <w:rPr>
          <w:rFonts w:ascii="宋体" w:eastAsia="宋体" w:hAnsi="宋体" w:cs="宋体" w:hint="eastAsia"/>
          <w:szCs w:val="21"/>
        </w:rPr>
        <w:t>、</w:t>
      </w:r>
      <w:r>
        <w:rPr>
          <w:rFonts w:ascii="宋体" w:eastAsia="宋体" w:hAnsi="宋体" w:cs="宋体" w:hint="eastAsia"/>
          <w:bCs/>
          <w:szCs w:val="21"/>
        </w:rPr>
        <w:t>中标人需做好安全防护措施，如出现重大安全事故，采购方有权解除合同，所有损失由中标人承担。</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bCs/>
          <w:szCs w:val="21"/>
        </w:rPr>
      </w:pPr>
      <w:r>
        <w:rPr>
          <w:rFonts w:ascii="宋体" w:eastAsia="宋体" w:hAnsi="宋体" w:cs="宋体" w:hint="eastAsia"/>
          <w:bCs/>
          <w:szCs w:val="21"/>
        </w:rPr>
        <w:t>17</w:t>
      </w:r>
      <w:r>
        <w:rPr>
          <w:rFonts w:ascii="宋体" w:eastAsia="宋体" w:hAnsi="宋体" w:cs="宋体" w:hint="eastAsia"/>
          <w:szCs w:val="21"/>
        </w:rPr>
        <w:t>、</w:t>
      </w:r>
      <w:r>
        <w:rPr>
          <w:rFonts w:ascii="宋体" w:eastAsia="宋体" w:hAnsi="宋体" w:cs="宋体" w:hint="eastAsia"/>
          <w:bCs/>
          <w:szCs w:val="21"/>
        </w:rPr>
        <w:t>如果出现设施故障引起大面积灭灯，中标人不能及时赶到现场或按采购方要求的时间完成抢修，或中标人</w:t>
      </w:r>
      <w:r>
        <w:rPr>
          <w:rFonts w:ascii="宋体" w:eastAsia="宋体" w:hAnsi="宋体" w:cs="宋体" w:hint="eastAsia"/>
          <w:snapToGrid w:val="0"/>
          <w:kern w:val="0"/>
          <w:szCs w:val="21"/>
        </w:rPr>
        <w:t>承担的养护项目施工质量不合格，</w:t>
      </w:r>
      <w:r>
        <w:rPr>
          <w:rFonts w:ascii="宋体" w:eastAsia="宋体" w:hAnsi="宋体" w:cs="宋体" w:hint="eastAsia"/>
          <w:bCs/>
          <w:szCs w:val="21"/>
        </w:rPr>
        <w:t>采购方有权安排其他单位进行维修，维修费用将在中标人每月的维护费中全部扣取。</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snapToGrid w:val="0"/>
          <w:kern w:val="0"/>
          <w:szCs w:val="21"/>
        </w:rPr>
      </w:pPr>
      <w:r>
        <w:rPr>
          <w:rFonts w:ascii="宋体" w:eastAsia="宋体" w:hAnsi="宋体" w:cs="宋体" w:hint="eastAsia"/>
          <w:bCs/>
          <w:szCs w:val="21"/>
        </w:rPr>
        <w:t>18</w:t>
      </w:r>
      <w:r>
        <w:rPr>
          <w:rFonts w:ascii="宋体" w:eastAsia="宋体" w:hAnsi="宋体" w:cs="宋体" w:hint="eastAsia"/>
          <w:szCs w:val="21"/>
        </w:rPr>
        <w:t>、</w:t>
      </w:r>
      <w:r>
        <w:rPr>
          <w:rFonts w:ascii="宋体" w:eastAsia="宋体" w:hAnsi="宋体" w:cs="宋体" w:hint="eastAsia"/>
          <w:bCs/>
          <w:szCs w:val="21"/>
        </w:rPr>
        <w:t>如因中标人维护不到位，</w:t>
      </w:r>
      <w:r>
        <w:rPr>
          <w:rFonts w:ascii="宋体" w:hAnsi="宋体" w:cs="宋体" w:hint="eastAsia"/>
          <w:bCs/>
          <w:szCs w:val="21"/>
          <w:lang w:val="en-US"/>
        </w:rPr>
        <w:t>未完全履行项目合同要求的维护义务</w:t>
      </w:r>
      <w:r>
        <w:rPr>
          <w:rFonts w:ascii="宋体" w:hAnsi="宋体" w:cs="宋体" w:hint="default"/>
          <w:bCs/>
          <w:szCs w:val="21"/>
        </w:rPr>
        <w:t>，</w:t>
      </w:r>
      <w:r>
        <w:rPr>
          <w:rFonts w:ascii="宋体" w:hAnsi="宋体" w:cs="宋体" w:hint="eastAsia"/>
          <w:bCs/>
          <w:szCs w:val="21"/>
          <w:lang w:val="en-US"/>
        </w:rPr>
        <w:t>或履行维护义务存在过失</w:t>
      </w:r>
      <w:r>
        <w:rPr>
          <w:rFonts w:ascii="宋体" w:hAnsi="宋体" w:cs="宋体" w:hint="default"/>
          <w:bCs/>
          <w:szCs w:val="21"/>
        </w:rPr>
        <w:t>、</w:t>
      </w:r>
      <w:r>
        <w:rPr>
          <w:rFonts w:ascii="宋体" w:hAnsi="宋体" w:cs="宋体" w:hint="eastAsia"/>
          <w:bCs/>
          <w:szCs w:val="21"/>
          <w:lang w:val="en-US"/>
        </w:rPr>
        <w:t>过错的</w:t>
      </w:r>
      <w:r>
        <w:rPr>
          <w:rFonts w:ascii="宋体" w:hAnsi="宋体" w:cs="宋体" w:hint="default"/>
          <w:bCs/>
          <w:szCs w:val="21"/>
        </w:rPr>
        <w:t>，</w:t>
      </w:r>
      <w:r>
        <w:rPr>
          <w:rFonts w:ascii="宋体" w:eastAsia="宋体" w:hAnsi="宋体" w:cs="宋体" w:hint="eastAsia"/>
          <w:bCs/>
          <w:szCs w:val="21"/>
        </w:rPr>
        <w:t>发生高压设施故障造成他人财产损失或人身伤害的，由中标人承担全部</w:t>
      </w:r>
      <w:r>
        <w:rPr>
          <w:rFonts w:ascii="宋体" w:hAnsi="宋体" w:cs="宋体" w:hint="eastAsia"/>
          <w:bCs/>
          <w:szCs w:val="21"/>
          <w:lang w:val="en-US"/>
        </w:rPr>
        <w:t>赔偿责任</w:t>
      </w:r>
      <w:r>
        <w:rPr>
          <w:rFonts w:ascii="宋体" w:eastAsia="宋体" w:hAnsi="宋体" w:cs="宋体" w:hint="eastAsia"/>
          <w:snapToGrid w:val="0"/>
          <w:kern w:val="0"/>
          <w:szCs w:val="21"/>
        </w:rPr>
        <w:t>和法律责任。</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bCs/>
          <w:szCs w:val="21"/>
        </w:rPr>
      </w:pPr>
      <w:r>
        <w:rPr>
          <w:rFonts w:ascii="宋体" w:eastAsia="宋体" w:hAnsi="宋体" w:cs="宋体" w:hint="eastAsia"/>
          <w:snapToGrid w:val="0"/>
          <w:kern w:val="0"/>
          <w:szCs w:val="21"/>
        </w:rPr>
        <w:t>19</w:t>
      </w:r>
      <w:r>
        <w:rPr>
          <w:rFonts w:ascii="宋体" w:eastAsia="宋体" w:hAnsi="宋体" w:cs="宋体" w:hint="eastAsia"/>
          <w:szCs w:val="21"/>
        </w:rPr>
        <w:t>、</w:t>
      </w:r>
      <w:r>
        <w:rPr>
          <w:rFonts w:ascii="宋体" w:eastAsia="宋体" w:hAnsi="宋体" w:cs="宋体" w:hint="eastAsia"/>
          <w:snapToGrid w:val="0"/>
          <w:kern w:val="0"/>
          <w:szCs w:val="21"/>
        </w:rPr>
        <w:t>因高压设施故障造成大面积停电或重要道路停电的，中标人需配备静音发电车用于临时照明措施保障亮灯。</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bCs/>
          <w:szCs w:val="21"/>
        </w:rPr>
      </w:pPr>
      <w:r>
        <w:rPr>
          <w:rFonts w:ascii="宋体" w:eastAsia="宋体" w:hAnsi="宋体" w:cs="宋体" w:hint="eastAsia"/>
          <w:snapToGrid w:val="0"/>
          <w:kern w:val="0"/>
          <w:szCs w:val="21"/>
        </w:rPr>
        <w:t>20</w:t>
      </w:r>
      <w:r>
        <w:rPr>
          <w:rFonts w:ascii="宋体" w:eastAsia="宋体" w:hAnsi="宋体" w:cs="宋体" w:hint="eastAsia"/>
          <w:szCs w:val="21"/>
        </w:rPr>
        <w:t>、</w:t>
      </w:r>
      <w:r>
        <w:rPr>
          <w:rFonts w:ascii="宋体" w:eastAsia="宋体" w:hAnsi="宋体" w:cs="宋体" w:hint="eastAsia"/>
          <w:snapToGrid w:val="0"/>
          <w:kern w:val="0"/>
          <w:szCs w:val="21"/>
        </w:rPr>
        <w:t>中标人在维护期满前一个月未提交高压设施量统计表给采购方，</w:t>
      </w:r>
      <w:r>
        <w:rPr>
          <w:rFonts w:ascii="宋体" w:eastAsia="宋体" w:hAnsi="宋体" w:cs="宋体" w:hint="eastAsia"/>
          <w:bCs/>
          <w:szCs w:val="21"/>
        </w:rPr>
        <w:t>当月维护经费扣除20000元。</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napToGrid w:val="0"/>
          <w:kern w:val="0"/>
          <w:szCs w:val="21"/>
        </w:rPr>
      </w:pPr>
      <w:r>
        <w:rPr>
          <w:rFonts w:ascii="宋体" w:eastAsia="宋体" w:hAnsi="宋体" w:cs="宋体" w:hint="eastAsia"/>
          <w:snapToGrid w:val="0"/>
          <w:kern w:val="0"/>
          <w:szCs w:val="21"/>
        </w:rPr>
        <w:t>21</w:t>
      </w:r>
      <w:r>
        <w:rPr>
          <w:rFonts w:ascii="宋体" w:eastAsia="宋体" w:hAnsi="宋体" w:cs="宋体" w:hint="eastAsia"/>
          <w:szCs w:val="21"/>
        </w:rPr>
        <w:t>、</w:t>
      </w:r>
      <w:r>
        <w:rPr>
          <w:rFonts w:ascii="宋体" w:eastAsia="宋体" w:hAnsi="宋体" w:cs="宋体" w:hint="eastAsia"/>
          <w:snapToGrid w:val="0"/>
          <w:kern w:val="0"/>
          <w:szCs w:val="21"/>
        </w:rPr>
        <w:t>中标人在维护合同结束后需将维护范围内路灯设施完好移交采购方，中标人最后一次的维护费用需在移交完成后，方可领取。如因本次中标人责任造成设施损坏的，需无条件进行修复。</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bCs/>
          <w:strike/>
          <w:kern w:val="0"/>
          <w:szCs w:val="21"/>
        </w:rPr>
      </w:pPr>
      <w:r>
        <w:rPr>
          <w:rFonts w:ascii="宋体" w:eastAsia="宋体" w:hAnsi="宋体" w:cs="宋体" w:hint="eastAsia"/>
          <w:bCs/>
          <w:kern w:val="0"/>
          <w:szCs w:val="21"/>
        </w:rPr>
        <w:t>22</w:t>
      </w:r>
      <w:r>
        <w:rPr>
          <w:rFonts w:ascii="宋体" w:eastAsia="宋体" w:hAnsi="宋体" w:cs="宋体" w:hint="eastAsia"/>
          <w:szCs w:val="21"/>
        </w:rPr>
        <w:t>、</w:t>
      </w:r>
      <w:r>
        <w:rPr>
          <w:rFonts w:ascii="宋体" w:eastAsia="宋体" w:hAnsi="宋体" w:cs="宋体" w:hint="eastAsia"/>
          <w:bCs/>
          <w:kern w:val="0"/>
          <w:szCs w:val="21"/>
        </w:rPr>
        <w:t>中标人需建立安全生产工作台账，每次巡视巡查、检修、检测、维修作业需如实书面记录，形成台账。台账记录内容包括作业的时间、地点、作业过程、作业结果，安全作业防护措施等。</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trike/>
          <w:kern w:val="0"/>
          <w:szCs w:val="21"/>
        </w:rPr>
      </w:pPr>
      <w:r>
        <w:rPr>
          <w:rFonts w:ascii="宋体" w:eastAsia="宋体" w:hAnsi="宋体" w:cs="宋体" w:hint="eastAsia"/>
          <w:kern w:val="0"/>
          <w:szCs w:val="21"/>
        </w:rPr>
        <w:t>23</w:t>
      </w:r>
      <w:r>
        <w:rPr>
          <w:rFonts w:ascii="宋体" w:eastAsia="宋体" w:hAnsi="宋体" w:cs="宋体" w:hint="eastAsia"/>
          <w:szCs w:val="21"/>
        </w:rPr>
        <w:t>、</w:t>
      </w:r>
      <w:r>
        <w:rPr>
          <w:rFonts w:ascii="宋体" w:eastAsia="宋体" w:hAnsi="宋体" w:cs="宋体" w:hint="eastAsia"/>
          <w:kern w:val="0"/>
          <w:szCs w:val="21"/>
        </w:rPr>
        <w:t>中标人需按时上报高压设施考核表、本项目年度箱变及配电房整治维护预算等文件。</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bCs/>
          <w:kern w:val="0"/>
          <w:szCs w:val="21"/>
        </w:rPr>
      </w:pPr>
      <w:r>
        <w:rPr>
          <w:rFonts w:ascii="宋体" w:eastAsia="宋体" w:hAnsi="宋体" w:cs="宋体" w:hint="eastAsia"/>
          <w:bCs/>
          <w:kern w:val="0"/>
          <w:szCs w:val="21"/>
        </w:rPr>
        <w:t>24</w:t>
      </w:r>
      <w:r>
        <w:rPr>
          <w:rFonts w:ascii="宋体" w:eastAsia="宋体" w:hAnsi="宋体" w:cs="宋体" w:hint="eastAsia"/>
          <w:szCs w:val="21"/>
        </w:rPr>
        <w:t>、</w:t>
      </w:r>
      <w:r>
        <w:rPr>
          <w:rFonts w:ascii="宋体" w:eastAsia="宋体" w:hAnsi="宋体" w:cs="宋体" w:hint="eastAsia"/>
          <w:bCs/>
          <w:kern w:val="0"/>
          <w:szCs w:val="21"/>
        </w:rPr>
        <w:t>招标方制定维护考核标准、管理规定、维护流程中标人需无条件遵守。</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bCs/>
          <w:spacing w:val="0"/>
          <w:kern w:val="0"/>
          <w:sz w:val="21"/>
          <w:szCs w:val="21"/>
        </w:rPr>
      </w:pPr>
      <w:r>
        <w:rPr>
          <w:rFonts w:ascii="宋体" w:eastAsia="宋体" w:hAnsi="宋体" w:cs="宋体" w:hint="eastAsia"/>
          <w:bCs/>
          <w:kern w:val="0"/>
          <w:szCs w:val="21"/>
        </w:rPr>
        <w:t>25</w:t>
      </w:r>
      <w:r>
        <w:rPr>
          <w:rFonts w:ascii="宋体" w:eastAsia="宋体" w:hAnsi="宋体" w:cs="宋体" w:hint="eastAsia"/>
          <w:szCs w:val="21"/>
        </w:rPr>
        <w:t>、</w:t>
      </w:r>
      <w:r>
        <w:rPr>
          <w:rFonts w:ascii="宋体" w:eastAsia="宋体" w:hAnsi="宋体" w:cs="宋体" w:hint="eastAsia"/>
          <w:bCs/>
          <w:kern w:val="0"/>
          <w:szCs w:val="21"/>
          <w:lang w:val="en-US" w:eastAsia="zh-CN"/>
        </w:rPr>
        <w:t>应在下月20日前报送上月考核表及维护费用</w:t>
      </w:r>
      <w:r>
        <w:rPr>
          <w:rFonts w:ascii="宋体" w:eastAsia="宋体" w:hAnsi="宋体" w:cs="宋体" w:hint="eastAsia"/>
          <w:bCs/>
          <w:kern w:val="0"/>
          <w:szCs w:val="21"/>
        </w:rPr>
        <w:t>结算送审</w:t>
      </w:r>
      <w:r>
        <w:rPr>
          <w:rFonts w:ascii="宋体" w:eastAsia="宋体" w:hAnsi="宋体" w:cs="宋体" w:hint="eastAsia"/>
          <w:bCs/>
          <w:kern w:val="0"/>
          <w:szCs w:val="21"/>
          <w:lang w:val="en-US" w:eastAsia="zh-CN"/>
        </w:rPr>
        <w:t>资料至采购人，</w:t>
      </w:r>
      <w:r>
        <w:rPr>
          <w:rFonts w:ascii="宋体" w:eastAsia="宋体" w:hAnsi="宋体" w:cs="宋体" w:hint="eastAsia"/>
          <w:bCs/>
          <w:kern w:val="0"/>
          <w:szCs w:val="21"/>
        </w:rPr>
        <w:t>每超期1天扣款2000元。</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bCs/>
          <w:spacing w:val="0"/>
          <w:kern w:val="0"/>
          <w:sz w:val="21"/>
          <w:szCs w:val="21"/>
        </w:rPr>
      </w:pPr>
      <w:r>
        <w:rPr>
          <w:rFonts w:ascii="宋体" w:eastAsia="宋体" w:hAnsi="宋体" w:cs="宋体" w:hint="eastAsia"/>
          <w:szCs w:val="21"/>
        </w:rPr>
        <w:t>2</w:t>
      </w:r>
      <w:r>
        <w:rPr>
          <w:rFonts w:ascii="宋体" w:eastAsia="宋体" w:hAnsi="宋体" w:cs="宋体" w:hint="eastAsia"/>
          <w:szCs w:val="21"/>
          <w:lang w:val="en-US" w:eastAsia="zh-CN"/>
        </w:rPr>
        <w:t>6</w:t>
      </w:r>
      <w:r>
        <w:rPr>
          <w:rFonts w:ascii="宋体" w:eastAsia="宋体" w:hAnsi="宋体" w:cs="宋体" w:hint="eastAsia"/>
          <w:szCs w:val="21"/>
        </w:rPr>
        <w:t>、实行高压设备户籍手册，中标人要做到每个箱变及其线路都要有档案记录并</w:t>
      </w:r>
      <w:r>
        <w:rPr>
          <w:rFonts w:ascii="宋体" w:eastAsia="宋体" w:hAnsi="宋体" w:cs="宋体" w:hint="eastAsia"/>
          <w:szCs w:val="21"/>
          <w:lang w:val="en-US" w:eastAsia="zh-CN"/>
        </w:rPr>
        <w:t>在采购人信息系统中</w:t>
      </w:r>
      <w:r>
        <w:rPr>
          <w:rFonts w:ascii="宋体" w:eastAsia="宋体" w:hAnsi="宋体" w:cs="宋体" w:hint="eastAsia"/>
          <w:szCs w:val="21"/>
        </w:rPr>
        <w:t>更新。维护合同结束前20天内，中标人按照实际情况，更新高压设备统计表、高压10kV单线图、电力设施位置系统图提交采购人。</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bCs/>
          <w:kern w:val="0"/>
          <w:szCs w:val="21"/>
        </w:rPr>
      </w:pPr>
      <w:r>
        <w:rPr>
          <w:rFonts w:ascii="宋体" w:eastAsia="宋体" w:hAnsi="宋体" w:cs="宋体" w:hint="eastAsia"/>
          <w:szCs w:val="21"/>
        </w:rPr>
        <w:t>27、实行高压设备户籍手册，中标人要做到每个箱变及其线路都要有档案记录并实时更新。维护合同结束前20天内，中标人按照实际情况，更新高压设备统计表、高压10kV单线图、电力设施位置系统图各一式两份，并制作成电子光盘提交采购人。核对有关资料后双方签署验收移交表格。</w:t>
      </w:r>
    </w:p>
    <w:p>
      <w:pPr>
        <w:keepNext w:val="0"/>
        <w:keepLines w:val="0"/>
        <w:pageBreakBefore w:val="0"/>
        <w:widowControl w:val="0"/>
        <w:kinsoku/>
        <w:wordWrap/>
        <w:overflowPunct/>
        <w:topLinePunct w:val="0"/>
        <w:bidi w:val="0"/>
        <w:snapToGrid/>
        <w:spacing w:line="360" w:lineRule="auto"/>
        <w:ind w:firstLine="420"/>
        <w:jc w:val="left"/>
        <w:rPr>
          <w:rFonts w:ascii="宋体" w:eastAsia="宋体" w:hAnsi="宋体" w:cs="宋体" w:hint="eastAsia"/>
          <w:b/>
          <w:bCs/>
          <w:szCs w:val="21"/>
        </w:rPr>
      </w:pPr>
      <w:r>
        <w:rPr>
          <w:rFonts w:ascii="宋体" w:eastAsia="宋体" w:hAnsi="宋体" w:cs="宋体" w:hint="eastAsia"/>
          <w:b/>
          <w:color w:val="000000"/>
          <w:szCs w:val="21"/>
        </w:rPr>
        <w:t>3.</w:t>
      </w:r>
      <w:r>
        <w:rPr>
          <w:rFonts w:ascii="宋体" w:eastAsia="宋体" w:hAnsi="宋体" w:cs="宋体" w:hint="eastAsia"/>
          <w:b/>
          <w:bCs/>
          <w:szCs w:val="21"/>
        </w:rPr>
        <w:t>办公要求</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szCs w:val="21"/>
        </w:rPr>
      </w:pPr>
      <w:r>
        <w:rPr>
          <w:rFonts w:ascii="宋体" w:eastAsia="宋体" w:hAnsi="宋体" w:cs="宋体" w:hint="eastAsia"/>
          <w:szCs w:val="21"/>
        </w:rPr>
        <w:t>1、为便于项目管理，采购人可根据单位情况，指定办公场所</w:t>
      </w:r>
      <w:r>
        <w:rPr>
          <w:rFonts w:ascii="宋体" w:hAnsi="宋体" w:cs="宋体" w:hint="eastAsia"/>
          <w:szCs w:val="21"/>
          <w:lang w:eastAsia="zh-CN"/>
        </w:rPr>
        <w:t>、应急设备仓库</w:t>
      </w:r>
      <w:r>
        <w:rPr>
          <w:rFonts w:ascii="宋体" w:eastAsia="宋体" w:hAnsi="宋体" w:cs="宋体" w:hint="eastAsia"/>
          <w:szCs w:val="21"/>
        </w:rPr>
        <w:t>，用于项目常驻人员办公</w:t>
      </w:r>
      <w:r>
        <w:rPr>
          <w:rFonts w:ascii="宋体" w:hAnsi="宋体" w:cs="宋体" w:hint="eastAsia"/>
          <w:szCs w:val="21"/>
          <w:lang w:eastAsia="zh-CN"/>
        </w:rPr>
        <w:t>、值守及存放应急设备</w:t>
      </w:r>
      <w:r>
        <w:rPr>
          <w:rFonts w:ascii="宋体" w:eastAsia="宋体" w:hAnsi="宋体" w:cs="宋体" w:hint="eastAsia"/>
          <w:szCs w:val="21"/>
        </w:rPr>
        <w:t>。</w:t>
      </w:r>
    </w:p>
    <w:p>
      <w:pPr>
        <w:keepNext w:val="0"/>
        <w:keepLines w:val="0"/>
        <w:pageBreakBefore w:val="0"/>
        <w:widowControl w:val="0"/>
        <w:kinsoku/>
        <w:wordWrap/>
        <w:overflowPunct/>
        <w:topLinePunct w:val="0"/>
        <w:bidi w:val="0"/>
        <w:snapToGrid/>
        <w:spacing w:line="360" w:lineRule="auto"/>
        <w:ind w:firstLine="420"/>
        <w:jc w:val="left"/>
        <w:rPr>
          <w:rFonts w:ascii="宋体" w:eastAsia="宋体" w:hAnsi="宋体" w:cs="宋体" w:hint="eastAsia"/>
          <w:b/>
          <w:bCs/>
          <w:szCs w:val="21"/>
        </w:rPr>
      </w:pPr>
      <w:r>
        <w:rPr>
          <w:rFonts w:ascii="宋体" w:hAnsi="宋体" w:cs="宋体" w:hint="eastAsia"/>
          <w:b/>
          <w:color w:val="000000"/>
          <w:szCs w:val="21"/>
          <w:lang w:val="en-US" w:eastAsia="zh-CN"/>
        </w:rPr>
        <w:t>4</w:t>
      </w:r>
      <w:r>
        <w:rPr>
          <w:rFonts w:ascii="宋体" w:eastAsia="宋体" w:hAnsi="宋体" w:cs="宋体" w:hint="eastAsia"/>
          <w:b/>
          <w:color w:val="000000"/>
          <w:szCs w:val="21"/>
        </w:rPr>
        <w:t>.设备</w:t>
      </w:r>
      <w:r>
        <w:rPr>
          <w:rFonts w:ascii="宋体" w:eastAsia="宋体" w:hAnsi="宋体" w:cs="宋体" w:hint="eastAsia"/>
          <w:b/>
          <w:bCs/>
          <w:szCs w:val="21"/>
        </w:rPr>
        <w:t>材料选型</w:t>
      </w:r>
    </w:p>
    <w:p>
      <w:pPr>
        <w:keepNext w:val="0"/>
        <w:keepLines w:val="0"/>
        <w:pageBreakBefore w:val="0"/>
        <w:widowControl w:val="0"/>
        <w:kinsoku/>
        <w:wordWrap/>
        <w:overflowPunct/>
        <w:topLinePunct w:val="0"/>
        <w:bidi w:val="0"/>
        <w:snapToGrid/>
        <w:spacing w:line="360" w:lineRule="auto"/>
        <w:ind w:firstLine="420"/>
        <w:jc w:val="left"/>
        <w:rPr>
          <w:rFonts w:ascii="宋体" w:eastAsia="宋体" w:hAnsi="宋体" w:cs="宋体" w:hint="eastAsia"/>
          <w:bCs/>
          <w:color w:val="000000"/>
          <w:szCs w:val="21"/>
        </w:rPr>
      </w:pPr>
      <w:r>
        <w:rPr>
          <w:rFonts w:ascii="宋体" w:eastAsia="宋体" w:hAnsi="宋体" w:cs="宋体" w:hint="eastAsia"/>
          <w:bCs/>
          <w:color w:val="000000"/>
          <w:szCs w:val="21"/>
        </w:rPr>
        <w:t>1、环网柜：采用SF6全密封、全绝缘开关设备，宜选用优质品牌产品。降低故障对电网的影响，并提高路灯运行的安全运行性能和管理水平。品牌推荐选用西门子、ABB、施耐德、GE伊顿，投标人可根据自身情况结合项目需求选择质量、性能不低于推荐品牌的材料、设备。</w:t>
      </w:r>
    </w:p>
    <w:p>
      <w:pPr>
        <w:keepNext w:val="0"/>
        <w:keepLines w:val="0"/>
        <w:pageBreakBefore w:val="0"/>
        <w:widowControl w:val="0"/>
        <w:kinsoku/>
        <w:wordWrap/>
        <w:overflowPunct/>
        <w:topLinePunct w:val="0"/>
        <w:bidi w:val="0"/>
        <w:snapToGrid/>
        <w:spacing w:line="360" w:lineRule="auto"/>
        <w:ind w:firstLine="420"/>
        <w:jc w:val="left"/>
        <w:rPr>
          <w:rFonts w:ascii="宋体" w:eastAsia="宋体" w:hAnsi="宋体" w:cs="宋体" w:hint="eastAsia"/>
          <w:bCs/>
          <w:color w:val="000000"/>
          <w:szCs w:val="21"/>
        </w:rPr>
      </w:pPr>
      <w:r>
        <w:rPr>
          <w:rFonts w:ascii="宋体" w:eastAsia="宋体" w:hAnsi="宋体" w:cs="宋体" w:hint="eastAsia"/>
          <w:bCs/>
          <w:color w:val="000000"/>
          <w:szCs w:val="21"/>
        </w:rPr>
        <w:t>2、电力电缆：选用铠装阻燃式交联聚乙烯绝缘聚氯乙烯护套电力电缆，品牌推荐选用金龙羽、成天泰、南牌，投标人可根据自身情况结合项目需求选择质量、性能不低于推荐品牌的材料、设备。</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bCs/>
          <w:color w:val="000000"/>
          <w:szCs w:val="21"/>
        </w:rPr>
      </w:pPr>
      <w:r>
        <w:rPr>
          <w:rFonts w:ascii="宋体" w:eastAsia="宋体" w:hAnsi="宋体" w:cs="宋体" w:hint="eastAsia"/>
          <w:bCs/>
          <w:color w:val="000000"/>
          <w:szCs w:val="21"/>
        </w:rPr>
        <w:t>3、低压</w:t>
      </w:r>
      <w:r>
        <w:rPr>
          <w:rFonts w:ascii="宋体" w:hAnsi="宋体" w:cs="宋体" w:hint="eastAsia"/>
          <w:bCs/>
          <w:color w:val="000000"/>
          <w:szCs w:val="21"/>
          <w:lang w:val="en-US" w:eastAsia="zh-CN"/>
        </w:rPr>
        <w:t>断路器</w:t>
      </w:r>
      <w:r>
        <w:rPr>
          <w:rFonts w:ascii="宋体" w:eastAsia="宋体" w:hAnsi="宋体" w:cs="宋体" w:hint="eastAsia"/>
          <w:bCs/>
          <w:color w:val="000000"/>
          <w:szCs w:val="21"/>
        </w:rPr>
        <w:t>：品牌推荐选用ABB、施耐德、白云电气、人民电器、正泰，投标人可根据自身情况结合项目需求选择质量、性能不低于推荐品牌的材料、设备。</w:t>
      </w:r>
    </w:p>
    <w:p>
      <w:pPr>
        <w:keepNext w:val="0"/>
        <w:keepLines w:val="0"/>
        <w:pageBreakBefore w:val="0"/>
        <w:widowControl w:val="0"/>
        <w:kinsoku/>
        <w:wordWrap/>
        <w:overflowPunct/>
        <w:topLinePunct w:val="0"/>
        <w:bidi w:val="0"/>
        <w:snapToGrid/>
        <w:spacing w:line="360" w:lineRule="auto"/>
        <w:ind w:firstLine="420" w:firstLineChars="200"/>
        <w:jc w:val="left"/>
        <w:rPr>
          <w:rFonts w:ascii="宋体" w:eastAsia="宋体" w:hAnsi="宋体" w:cs="宋体" w:hint="eastAsia"/>
          <w:bCs/>
          <w:color w:val="000000"/>
          <w:szCs w:val="21"/>
        </w:rPr>
      </w:pPr>
      <w:r>
        <w:rPr>
          <w:rFonts w:ascii="宋体" w:eastAsia="宋体" w:hAnsi="宋体" w:cs="宋体" w:hint="eastAsia"/>
          <w:bCs/>
          <w:color w:val="000000"/>
          <w:szCs w:val="21"/>
        </w:rPr>
        <w:t>4、箱式变电站（地上）变压器：干式选用SCB12型及以上，采用铜芯绕组。品牌推荐选用金盘科技、天津特变电工、钱江电气、中电电气、ABB，投标人可根据自身情况结合项目需求选择质量、性能不低于推荐品牌的材料、设备。</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rFonts w:ascii="宋体" w:eastAsia="宋体" w:hAnsi="宋体" w:cs="宋体" w:hint="eastAsia"/>
          <w:b/>
          <w:bCs/>
          <w:szCs w:val="21"/>
        </w:rPr>
      </w:pPr>
      <w:r>
        <w:rPr>
          <w:rFonts w:ascii="宋体" w:hAnsi="宋体" w:cs="宋体" w:hint="eastAsia"/>
          <w:b/>
          <w:color w:val="000000"/>
          <w:szCs w:val="21"/>
          <w:lang w:val="en-US" w:eastAsia="zh-CN"/>
        </w:rPr>
        <w:t>5</w:t>
      </w:r>
      <w:r>
        <w:rPr>
          <w:rFonts w:ascii="宋体" w:eastAsia="宋体" w:hAnsi="宋体" w:cs="宋体" w:hint="eastAsia"/>
          <w:b/>
          <w:color w:val="000000"/>
          <w:szCs w:val="21"/>
        </w:rPr>
        <w:t>.</w:t>
      </w:r>
      <w:r>
        <w:rPr>
          <w:rFonts w:ascii="宋体" w:eastAsia="宋体" w:hAnsi="宋体" w:cs="宋体" w:hint="eastAsia"/>
          <w:b/>
          <w:bCs/>
          <w:szCs w:val="21"/>
        </w:rPr>
        <w:t>材料管理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ascii="宋体" w:eastAsia="宋体" w:hAnsi="宋体" w:cs="宋体" w:hint="eastAsia"/>
          <w:szCs w:val="21"/>
        </w:rPr>
      </w:pPr>
      <w:r>
        <w:rPr>
          <w:rFonts w:ascii="宋体" w:eastAsia="宋体" w:hAnsi="宋体" w:cs="宋体" w:hint="eastAsia"/>
          <w:szCs w:val="21"/>
        </w:rPr>
        <w:t>1、中标人在签订维护合同后一个月内，需提供投标文件中所投维护材料的采购合同报招标方备案（包括辅助材料），并在维护中严格遵守品牌承诺；若采购人在维护期间进行维护材料抽检时发现中标人未按照备案的维护材料进行维修更换，将按照监管措施进行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ascii="宋体" w:eastAsia="宋体" w:hAnsi="宋体" w:cs="宋体" w:hint="eastAsia"/>
          <w:szCs w:val="21"/>
        </w:rPr>
      </w:pPr>
      <w:r>
        <w:rPr>
          <w:rFonts w:ascii="宋体" w:eastAsia="宋体" w:hAnsi="宋体" w:cs="宋体" w:hint="eastAsia"/>
          <w:szCs w:val="21"/>
        </w:rPr>
        <w:t>2、在维护期内，招标方可对维护所使用</w:t>
      </w:r>
      <w:r>
        <w:rPr>
          <w:rFonts w:ascii="宋体" w:eastAsia="宋体" w:hAnsi="宋体" w:cs="宋体" w:hint="eastAsia"/>
          <w:szCs w:val="21"/>
          <w:lang w:val="en-US" w:eastAsia="zh-CN"/>
        </w:rPr>
        <w:t>材料</w:t>
      </w:r>
      <w:r>
        <w:rPr>
          <w:rFonts w:ascii="宋体" w:eastAsia="宋体" w:hAnsi="宋体" w:cs="宋体" w:hint="eastAsia"/>
          <w:szCs w:val="21"/>
        </w:rPr>
        <w:t>进行质量抽检，交深圳市有相应检测资质的检测单位执行，所需费用由中标人承担。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ascii="宋体" w:eastAsia="宋体" w:hAnsi="宋体" w:cs="宋体" w:hint="eastAsia"/>
          <w:szCs w:val="21"/>
        </w:rPr>
      </w:pPr>
      <w:r>
        <w:rPr>
          <w:rFonts w:ascii="宋体" w:eastAsia="宋体" w:hAnsi="宋体" w:cs="宋体" w:hint="eastAsia"/>
          <w:szCs w:val="21"/>
        </w:rPr>
        <w:t>3、主要材料设备和对外观、颜色、尺寸等有要求的材料设备，中标人均应免费提供样品或图样，经招标方确定后，中标人方可进行批量采购，但并不能免除承中标人应负的质量责任。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ascii="宋体" w:eastAsia="宋体" w:hAnsi="宋体" w:cs="宋体" w:hint="eastAsia"/>
        </w:rPr>
      </w:pPr>
      <w:r>
        <w:rPr>
          <w:rFonts w:ascii="宋体" w:eastAsia="宋体" w:hAnsi="宋体" w:cs="宋体" w:hint="eastAsia"/>
          <w:szCs w:val="21"/>
        </w:rPr>
        <w:t>4、中标人采购的所有用于项目实体的原材料及设备、配件等必须是全新的，其质量必须符合相应的国家合格产品标准，且满足图纸及招标文件要求，必须有产品合格证书和说明书及厂家的授权证明，提供的检测报告需经有资质的检测单位检验合格。</w:t>
      </w:r>
    </w:p>
    <w:p>
      <w:pPr>
        <w:keepNext w:val="0"/>
        <w:keepLines w:val="0"/>
        <w:pageBreakBefore w:val="0"/>
        <w:widowControl w:val="0"/>
        <w:kinsoku/>
        <w:wordWrap/>
        <w:overflowPunct/>
        <w:topLinePunct w:val="0"/>
        <w:bidi w:val="0"/>
        <w:adjustRightInd w:val="0"/>
        <w:snapToGrid/>
        <w:spacing w:line="360" w:lineRule="auto"/>
        <w:jc w:val="center"/>
        <w:textAlignment w:val="baseline"/>
        <w:outlineLvl w:val="1"/>
        <w:rPr>
          <w:rFonts w:ascii="宋体" w:eastAsia="宋体" w:hAnsi="宋体" w:cs="宋体" w:hint="eastAsia"/>
          <w:b/>
          <w:bCs/>
          <w:kern w:val="0"/>
          <w:sz w:val="28"/>
          <w:szCs w:val="28"/>
        </w:rPr>
      </w:pPr>
    </w:p>
    <w:p>
      <w:pPr>
        <w:keepNext w:val="0"/>
        <w:keepLines w:val="0"/>
        <w:pageBreakBefore w:val="0"/>
        <w:widowControl w:val="0"/>
        <w:kinsoku/>
        <w:wordWrap/>
        <w:overflowPunct/>
        <w:topLinePunct w:val="0"/>
        <w:bidi w:val="0"/>
        <w:adjustRightInd w:val="0"/>
        <w:snapToGrid/>
        <w:spacing w:line="360" w:lineRule="auto"/>
        <w:jc w:val="center"/>
        <w:textAlignment w:val="baseline"/>
        <w:outlineLvl w:val="1"/>
        <w:rPr>
          <w:rFonts w:ascii="宋体" w:eastAsia="宋体" w:hAnsi="宋体" w:cs="宋体" w:hint="eastAsia"/>
          <w:b/>
          <w:bCs/>
          <w:kern w:val="0"/>
          <w:sz w:val="28"/>
          <w:szCs w:val="28"/>
        </w:rPr>
      </w:pPr>
      <w:r>
        <w:rPr>
          <w:rFonts w:ascii="宋体" w:eastAsia="宋体" w:hAnsi="宋体" w:cs="宋体" w:hint="eastAsia"/>
          <w:b/>
          <w:bCs/>
          <w:kern w:val="0"/>
          <w:sz w:val="28"/>
          <w:szCs w:val="28"/>
        </w:rPr>
        <w:t>五、项目商务要求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eastAsia="宋体" w:hAnsi="宋体" w:cs="宋体" w:hint="eastAsia"/>
          <w:b/>
          <w:bCs/>
          <w:sz w:val="21"/>
          <w:szCs w:val="21"/>
          <w:highlight w:val="yellow"/>
        </w:rPr>
      </w:pPr>
      <w:r>
        <w:rPr>
          <w:rFonts w:ascii="宋体" w:eastAsia="宋体" w:hAnsi="宋体" w:cs="宋体" w:hint="eastAsia"/>
          <w:b/>
          <w:bCs/>
          <w:color w:val="000000"/>
          <w:sz w:val="21"/>
          <w:szCs w:val="21"/>
          <w:highlight w:val="yellow"/>
        </w:rPr>
        <w:t>★</w:t>
      </w:r>
      <w:r>
        <w:rPr>
          <w:rFonts w:ascii="宋体" w:eastAsia="宋体" w:hAnsi="宋体" w:cs="宋体" w:hint="eastAsia"/>
          <w:b/>
          <w:bCs/>
          <w:sz w:val="21"/>
          <w:szCs w:val="21"/>
          <w:highlight w:val="yellow"/>
        </w:rPr>
        <w:t>（一）服务期限</w:t>
      </w:r>
    </w:p>
    <w:p>
      <w:pPr>
        <w:pStyle w:val="a"/>
        <w:keepNext w:val="0"/>
        <w:keepLines w:val="0"/>
        <w:pageBreakBefore w:val="0"/>
        <w:widowControl w:val="0"/>
        <w:kinsoku/>
        <w:wordWrap/>
        <w:overflowPunct/>
        <w:topLinePunct w:val="0"/>
        <w:autoSpaceDE/>
        <w:autoSpaceDN/>
        <w:bidi w:val="0"/>
        <w:adjustRightInd/>
        <w:snapToGrid/>
        <w:spacing w:before="0" w:after="0" w:line="360" w:lineRule="auto"/>
        <w:ind w:firstLine="420" w:firstLineChars="200"/>
        <w:textAlignment w:val="auto"/>
        <w:rPr>
          <w:rFonts w:eastAsia="宋体" w:hint="default"/>
          <w:lang w:val="en-US" w:eastAsia="zh-CN"/>
        </w:rPr>
      </w:pPr>
      <w:r>
        <w:rPr>
          <w:rFonts w:ascii="宋体" w:eastAsia="宋体" w:hAnsi="宋体" w:cs="宋体" w:hint="eastAsia"/>
          <w:b/>
          <w:bCs/>
          <w:color w:val="auto"/>
          <w:sz w:val="21"/>
          <w:szCs w:val="21"/>
          <w:highlight w:val="yellow"/>
          <w:lang w:val="en-US" w:eastAsia="zh-CN"/>
        </w:rPr>
        <w:t>一个完整自然年</w:t>
      </w:r>
      <w:r>
        <w:rPr>
          <w:rFonts w:ascii="宋体" w:eastAsia="宋体" w:hAnsi="宋体" w:cs="宋体" w:hint="eastAsia"/>
          <w:b/>
          <w:bCs/>
          <w:color w:val="auto"/>
          <w:kern w:val="0"/>
          <w:sz w:val="21"/>
          <w:szCs w:val="21"/>
          <w:highlight w:val="yellow"/>
        </w:rPr>
        <w:t>，自2</w:t>
      </w:r>
      <w:r>
        <w:rPr>
          <w:rFonts w:ascii="宋体" w:eastAsia="宋体" w:hAnsi="宋体" w:cs="宋体" w:hint="eastAsia"/>
          <w:b/>
          <w:bCs/>
          <w:kern w:val="0"/>
          <w:sz w:val="21"/>
          <w:szCs w:val="21"/>
          <w:highlight w:val="yellow"/>
        </w:rPr>
        <w:t>024年1月1日至202</w:t>
      </w:r>
      <w:r>
        <w:rPr>
          <w:rFonts w:ascii="宋体" w:eastAsia="宋体" w:hAnsi="宋体" w:cs="宋体" w:hint="eastAsia"/>
          <w:b/>
          <w:bCs/>
          <w:kern w:val="0"/>
          <w:sz w:val="21"/>
          <w:szCs w:val="21"/>
          <w:highlight w:val="yellow"/>
          <w:lang w:val="en-US" w:eastAsia="zh-CN"/>
        </w:rPr>
        <w:t>4</w:t>
      </w:r>
      <w:r>
        <w:rPr>
          <w:rFonts w:ascii="宋体" w:eastAsia="宋体" w:hAnsi="宋体" w:cs="宋体" w:hint="eastAsia"/>
          <w:b/>
          <w:bCs/>
          <w:kern w:val="0"/>
          <w:sz w:val="21"/>
          <w:szCs w:val="21"/>
          <w:highlight w:val="yellow"/>
        </w:rPr>
        <w:t>年12月31日。</w:t>
      </w:r>
      <w:r>
        <w:rPr>
          <w:rFonts w:hint="eastAsia"/>
          <w:b/>
          <w:bCs/>
          <w:sz w:val="21"/>
          <w:szCs w:val="21"/>
          <w:highlight w:val="yellow"/>
          <w:lang w:val="en-US" w:eastAsia="zh-CN"/>
        </w:rPr>
        <w:t>本项目为长期服务项目，合同期满可以续签，但合同履行期限最长不得超过三十六个月。如采购方对履约情况不满意，则不再续签。</w:t>
      </w:r>
    </w:p>
    <w:p>
      <w:pPr>
        <w:keepNext w:val="0"/>
        <w:keepLines w:val="0"/>
        <w:pageBreakBefore w:val="0"/>
        <w:widowControl w:val="0"/>
        <w:kinsoku/>
        <w:wordWrap/>
        <w:overflowPunct/>
        <w:topLinePunct w:val="0"/>
        <w:bidi w:val="0"/>
        <w:snapToGrid/>
        <w:spacing w:line="360" w:lineRule="auto"/>
        <w:ind w:firstLine="420" w:firstLineChars="200"/>
        <w:rPr>
          <w:rFonts w:ascii="宋体" w:eastAsia="宋体" w:hAnsi="宋体" w:cs="宋体" w:hint="eastAsia"/>
          <w:b/>
          <w:bCs/>
          <w:szCs w:val="21"/>
          <w:highlight w:val="yellow"/>
        </w:rPr>
      </w:pPr>
      <w:bookmarkStart w:id="12" w:name="OLE_LINK20"/>
      <w:r>
        <w:rPr>
          <w:rFonts w:ascii="宋体" w:eastAsia="宋体" w:hAnsi="宋体" w:cs="宋体" w:hint="eastAsia"/>
          <w:b/>
          <w:bCs/>
          <w:color w:val="000000"/>
          <w:szCs w:val="21"/>
          <w:highlight w:val="yellow"/>
        </w:rPr>
        <w:t>★</w:t>
      </w:r>
      <w:bookmarkEnd w:id="12"/>
      <w:r>
        <w:rPr>
          <w:rFonts w:ascii="宋体" w:eastAsia="宋体" w:hAnsi="宋体" w:cs="宋体" w:hint="eastAsia"/>
          <w:b/>
          <w:bCs/>
          <w:szCs w:val="21"/>
          <w:highlight w:val="yellow"/>
        </w:rPr>
        <w:t>（二）付款方式</w:t>
      </w:r>
    </w:p>
    <w:p>
      <w:pPr>
        <w:keepNext w:val="0"/>
        <w:keepLines w:val="0"/>
        <w:pageBreakBefore w:val="0"/>
        <w:widowControl w:val="0"/>
        <w:kinsoku/>
        <w:wordWrap/>
        <w:overflowPunct/>
        <w:topLinePunct w:val="0"/>
        <w:bidi w:val="0"/>
        <w:adjustRightInd w:val="0"/>
        <w:snapToGrid/>
        <w:spacing w:line="360" w:lineRule="auto"/>
        <w:ind w:firstLine="420" w:firstLineChars="200"/>
        <w:rPr>
          <w:rFonts w:ascii="宋体" w:eastAsia="宋体" w:hAnsi="宋体" w:cs="宋体" w:hint="default"/>
          <w:b/>
          <w:bCs/>
          <w:szCs w:val="21"/>
          <w:highlight w:val="yellow"/>
          <w:lang w:val="en-US" w:eastAsia="zh-CN"/>
        </w:rPr>
      </w:pPr>
      <w:r>
        <w:rPr>
          <w:rFonts w:ascii="宋体" w:eastAsia="宋体" w:hAnsi="宋体" w:cs="宋体" w:hint="eastAsia"/>
          <w:b/>
          <w:bCs/>
          <w:szCs w:val="21"/>
          <w:highlight w:val="yellow"/>
        </w:rPr>
        <w:t>1.签订施工合同并经备案通过，同时中标人办理合同总价的</w:t>
      </w:r>
      <w:r>
        <w:rPr>
          <w:rFonts w:ascii="宋体" w:hAnsi="宋体" w:cs="宋体" w:hint="eastAsia"/>
          <w:b/>
          <w:bCs/>
          <w:szCs w:val="21"/>
          <w:highlight w:val="yellow"/>
          <w:lang w:val="en-US" w:eastAsia="zh-CN"/>
        </w:rPr>
        <w:t>1</w:t>
      </w:r>
      <w:r>
        <w:rPr>
          <w:rFonts w:ascii="宋体" w:eastAsia="宋体" w:hAnsi="宋体" w:cs="宋体" w:hint="eastAsia"/>
          <w:b/>
          <w:bCs/>
          <w:szCs w:val="21"/>
          <w:highlight w:val="yellow"/>
        </w:rPr>
        <w:t>0%的履约保函后，采购人支付合同总价的</w:t>
      </w:r>
      <w:r>
        <w:rPr>
          <w:rFonts w:ascii="宋体" w:hAnsi="宋体" w:cs="宋体" w:hint="eastAsia"/>
          <w:b/>
          <w:bCs/>
          <w:szCs w:val="21"/>
          <w:highlight w:val="yellow"/>
          <w:lang w:val="en-US" w:eastAsia="zh-CN"/>
        </w:rPr>
        <w:t>25</w:t>
      </w:r>
      <w:r>
        <w:rPr>
          <w:rFonts w:ascii="宋体" w:eastAsia="宋体" w:hAnsi="宋体" w:cs="宋体" w:hint="eastAsia"/>
          <w:b/>
          <w:bCs/>
          <w:szCs w:val="21"/>
          <w:highlight w:val="yellow"/>
        </w:rPr>
        <w:t>%作为预付款。</w:t>
      </w:r>
    </w:p>
    <w:p>
      <w:pPr>
        <w:keepNext w:val="0"/>
        <w:keepLines w:val="0"/>
        <w:pageBreakBefore w:val="0"/>
        <w:widowControl/>
        <w:kinsoku/>
        <w:wordWrap/>
        <w:overflowPunct/>
        <w:topLinePunct w:val="0"/>
        <w:bidi w:val="0"/>
        <w:adjustRightInd/>
        <w:snapToGrid/>
        <w:spacing w:line="360" w:lineRule="auto"/>
        <w:ind w:firstLine="420" w:firstLineChars="200"/>
        <w:rPr>
          <w:rFonts w:ascii="宋体" w:eastAsia="宋体" w:hAnsi="宋体" w:cs="宋体" w:hint="eastAsia"/>
          <w:b/>
          <w:bCs/>
          <w:color w:val="000000" w:themeColor="text1"/>
          <w:spacing w:val="10"/>
          <w:szCs w:val="21"/>
          <w:highlight w:val="yellow"/>
          <w14:textFill>
            <w14:solidFill>
              <w14:schemeClr w14:val="tx1"/>
            </w14:solidFill>
          </w14:textFill>
        </w:rPr>
      </w:pPr>
      <w:r>
        <w:rPr>
          <w:rFonts w:ascii="宋体" w:eastAsia="宋体" w:hAnsi="宋体" w:cs="宋体" w:hint="eastAsia"/>
          <w:b/>
          <w:bCs/>
          <w:color w:val="000000" w:themeColor="text1"/>
          <w:szCs w:val="21"/>
          <w:highlight w:val="yellow"/>
          <w14:textFill>
            <w14:solidFill>
              <w14:schemeClr w14:val="tx1"/>
            </w14:solidFill>
          </w14:textFill>
        </w:rPr>
        <w:t>2.</w:t>
      </w:r>
      <w:r>
        <w:rPr>
          <w:rFonts w:ascii="宋体" w:hAnsi="宋体" w:cs="宋体" w:hint="eastAsia"/>
          <w:b/>
          <w:bCs/>
          <w:color w:val="000000" w:themeColor="text1"/>
          <w:szCs w:val="21"/>
          <w:highlight w:val="yellow"/>
          <w:lang w:val="en-US" w:eastAsia="zh-CN"/>
          <w14:textFill>
            <w14:solidFill>
              <w14:schemeClr w14:val="tx1"/>
            </w14:solidFill>
          </w14:textFill>
        </w:rPr>
        <w:t>固定</w:t>
      </w:r>
      <w:r>
        <w:rPr>
          <w:rFonts w:ascii="宋体" w:eastAsia="宋体" w:hAnsi="宋体" w:cs="宋体" w:hint="eastAsia"/>
          <w:b/>
          <w:bCs/>
          <w:color w:val="000000" w:themeColor="text1"/>
          <w:szCs w:val="21"/>
          <w:highlight w:val="yellow"/>
          <w14:textFill>
            <w14:solidFill>
              <w14:schemeClr w14:val="tx1"/>
            </w14:solidFill>
          </w14:textFill>
        </w:rPr>
        <w:t>费用每月按照中标人投标报价除以12个月支付；</w:t>
      </w:r>
    </w:p>
    <w:p>
      <w:pPr>
        <w:keepNext w:val="0"/>
        <w:keepLines w:val="0"/>
        <w:pageBreakBefore w:val="0"/>
        <w:widowControl w:val="0"/>
        <w:kinsoku/>
        <w:wordWrap/>
        <w:overflowPunct/>
        <w:topLinePunct w:val="0"/>
        <w:bidi w:val="0"/>
        <w:adjustRightInd w:val="0"/>
        <w:snapToGrid/>
        <w:spacing w:line="360" w:lineRule="auto"/>
        <w:ind w:firstLine="420" w:firstLineChars="200"/>
        <w:rPr>
          <w:rFonts w:ascii="宋体" w:eastAsia="宋体" w:hAnsi="宋体" w:cs="宋体" w:hint="eastAsia"/>
          <w:b/>
          <w:bCs/>
          <w:color w:val="000000"/>
          <w:spacing w:val="10"/>
          <w:szCs w:val="21"/>
          <w:highlight w:val="yellow"/>
        </w:rPr>
      </w:pPr>
      <w:r>
        <w:rPr>
          <w:rFonts w:ascii="宋体" w:eastAsia="宋体" w:hAnsi="宋体" w:cs="宋体" w:hint="eastAsia"/>
          <w:b/>
          <w:bCs/>
          <w:szCs w:val="21"/>
          <w:highlight w:val="yellow"/>
        </w:rPr>
        <w:t>3.</w:t>
      </w:r>
      <w:r>
        <w:rPr>
          <w:rFonts w:ascii="宋体" w:eastAsia="宋体" w:hAnsi="宋体" w:cs="宋体" w:hint="eastAsia"/>
          <w:b/>
          <w:bCs/>
          <w:color w:val="000000"/>
          <w:spacing w:val="10"/>
          <w:szCs w:val="21"/>
          <w:highlight w:val="yellow"/>
        </w:rPr>
        <w:t>维护费用每月按申报工程量审核结算一次，按结算金额在当月支付；</w:t>
      </w:r>
    </w:p>
    <w:p>
      <w:pPr>
        <w:pStyle w:val="a"/>
        <w:keepNext w:val="0"/>
        <w:keepLines w:val="0"/>
        <w:pageBreakBefore w:val="0"/>
        <w:widowControl w:val="0"/>
        <w:kinsoku/>
        <w:wordWrap/>
        <w:overflowPunct/>
        <w:topLinePunct w:val="0"/>
        <w:bidi w:val="0"/>
        <w:snapToGrid/>
        <w:spacing w:before="0" w:after="0" w:line="360" w:lineRule="auto"/>
        <w:ind w:firstLine="420" w:firstLineChars="200"/>
        <w:rPr>
          <w:rFonts w:ascii="宋体" w:eastAsia="宋体" w:hAnsi="宋体" w:cs="宋体" w:hint="eastAsia"/>
          <w:b/>
          <w:bCs/>
          <w:spacing w:val="0"/>
          <w:sz w:val="21"/>
          <w:szCs w:val="21"/>
          <w:highlight w:val="yellow"/>
        </w:rPr>
      </w:pPr>
      <w:r>
        <w:rPr>
          <w:rFonts w:ascii="宋体" w:eastAsia="宋体" w:hAnsi="宋体" w:cs="宋体" w:hint="eastAsia"/>
          <w:b/>
          <w:bCs/>
          <w:spacing w:val="0"/>
          <w:sz w:val="21"/>
          <w:szCs w:val="21"/>
          <w:highlight w:val="yellow"/>
        </w:rPr>
        <w:t>4.维护费用结算方式：</w:t>
      </w:r>
    </w:p>
    <w:p>
      <w:pPr>
        <w:pStyle w:val="a"/>
        <w:keepNext w:val="0"/>
        <w:keepLines w:val="0"/>
        <w:pageBreakBefore w:val="0"/>
        <w:widowControl w:val="0"/>
        <w:kinsoku/>
        <w:wordWrap/>
        <w:overflowPunct/>
        <w:topLinePunct w:val="0"/>
        <w:bidi w:val="0"/>
        <w:snapToGrid/>
        <w:spacing w:before="0" w:after="0" w:line="360" w:lineRule="auto"/>
        <w:ind w:firstLine="420" w:firstLineChars="200"/>
        <w:rPr>
          <w:rFonts w:ascii="宋体" w:eastAsia="宋体" w:hAnsi="宋体" w:cs="宋体" w:hint="eastAsia"/>
          <w:b/>
          <w:bCs/>
          <w:spacing w:val="0"/>
          <w:sz w:val="21"/>
          <w:szCs w:val="21"/>
          <w:highlight w:val="yellow"/>
          <w:lang w:val="en-US" w:eastAsia="zh-CN"/>
        </w:rPr>
      </w:pPr>
      <w:r>
        <w:rPr>
          <w:rFonts w:ascii="宋体" w:eastAsia="宋体" w:hAnsi="宋体" w:cs="宋体" w:hint="eastAsia"/>
          <w:b/>
          <w:bCs/>
          <w:spacing w:val="0"/>
          <w:sz w:val="21"/>
          <w:szCs w:val="21"/>
          <w:highlight w:val="yellow"/>
          <w:lang w:val="en-US" w:eastAsia="zh-CN"/>
        </w:rPr>
        <w:t>（1）更换工程量为当月实际发生工程量；</w:t>
      </w:r>
    </w:p>
    <w:p>
      <w:pPr>
        <w:pStyle w:val="a"/>
        <w:keepNext w:val="0"/>
        <w:keepLines w:val="0"/>
        <w:pageBreakBefore w:val="0"/>
        <w:widowControl w:val="0"/>
        <w:kinsoku/>
        <w:wordWrap/>
        <w:overflowPunct/>
        <w:topLinePunct w:val="0"/>
        <w:bidi w:val="0"/>
        <w:snapToGrid/>
        <w:spacing w:before="0" w:after="0" w:line="360" w:lineRule="auto"/>
        <w:ind w:firstLine="420" w:firstLineChars="200"/>
        <w:jc w:val="left"/>
        <w:rPr>
          <w:rFonts w:ascii="宋体" w:eastAsia="宋体" w:hAnsi="宋体" w:cs="宋体" w:hint="eastAsia"/>
          <w:b/>
          <w:bCs/>
          <w:spacing w:val="0"/>
          <w:sz w:val="21"/>
          <w:szCs w:val="21"/>
          <w:highlight w:val="yellow"/>
        </w:rPr>
      </w:pPr>
      <w:r>
        <w:rPr>
          <w:rFonts w:ascii="宋体" w:eastAsia="宋体" w:hAnsi="宋体" w:cs="宋体" w:hint="eastAsia"/>
          <w:b/>
          <w:bCs/>
          <w:spacing w:val="0"/>
          <w:sz w:val="21"/>
          <w:szCs w:val="21"/>
          <w:highlight w:val="yellow"/>
        </w:rPr>
        <w:t>（</w:t>
      </w:r>
      <w:r>
        <w:rPr>
          <w:rFonts w:ascii="宋体" w:eastAsia="宋体" w:hAnsi="宋体" w:cs="宋体" w:hint="eastAsia"/>
          <w:b/>
          <w:bCs/>
          <w:spacing w:val="0"/>
          <w:sz w:val="21"/>
          <w:szCs w:val="21"/>
          <w:highlight w:val="yellow"/>
          <w:lang w:val="en-US" w:eastAsia="zh-CN"/>
        </w:rPr>
        <w:t>2</w:t>
      </w:r>
      <w:r>
        <w:rPr>
          <w:rFonts w:ascii="宋体" w:eastAsia="宋体" w:hAnsi="宋体" w:cs="宋体" w:hint="eastAsia"/>
          <w:b/>
          <w:bCs/>
          <w:spacing w:val="0"/>
          <w:sz w:val="21"/>
          <w:szCs w:val="21"/>
          <w:highlight w:val="yellow"/>
        </w:rPr>
        <w:t>）</w:t>
      </w:r>
      <w:r>
        <w:rPr>
          <w:rFonts w:ascii="宋体" w:eastAsia="宋体" w:hAnsi="宋体" w:cs="宋体" w:hint="eastAsia"/>
          <w:b/>
          <w:bCs/>
          <w:sz w:val="21"/>
          <w:szCs w:val="21"/>
          <w:highlight w:val="yellow"/>
          <w:lang w:val="en-US" w:eastAsia="zh-CN"/>
        </w:rPr>
        <w:t>材料单价</w:t>
      </w:r>
      <w:r>
        <w:rPr>
          <w:rFonts w:ascii="宋体" w:eastAsia="宋体" w:hAnsi="宋体" w:cs="宋体" w:hint="eastAsia"/>
          <w:b/>
          <w:bCs/>
          <w:spacing w:val="10"/>
          <w:sz w:val="21"/>
          <w:szCs w:val="21"/>
          <w:highlight w:val="yellow"/>
        </w:rPr>
        <w:t>按项目实施当月《深圳建设工程价格信息》信息价计算出基准价（若当月《深圳建设工程价格信息》无相应材料设备、人工价格标准的，则通过市场询价（第三方造价咨询公司询价）或相关案例确定）。然后用</w:t>
      </w:r>
      <w:r>
        <w:rPr>
          <w:rFonts w:ascii="宋体" w:eastAsia="宋体" w:hAnsi="宋体" w:cs="宋体" w:hint="eastAsia"/>
          <w:b/>
          <w:bCs/>
          <w:spacing w:val="10"/>
          <w:sz w:val="21"/>
          <w:szCs w:val="21"/>
          <w:highlight w:val="yellow"/>
          <w:lang w:eastAsia="zh-CN"/>
        </w:rPr>
        <w:t>材料单价</w:t>
      </w:r>
      <w:r>
        <w:rPr>
          <w:rFonts w:ascii="宋体" w:eastAsia="宋体" w:hAnsi="宋体" w:cs="宋体" w:hint="eastAsia"/>
          <w:b/>
          <w:bCs/>
          <w:spacing w:val="10"/>
          <w:sz w:val="21"/>
          <w:szCs w:val="21"/>
          <w:highlight w:val="yellow"/>
        </w:rPr>
        <w:t>×（1-</w:t>
      </w:r>
      <w:r>
        <w:rPr>
          <w:rFonts w:ascii="宋体" w:eastAsia="宋体" w:hAnsi="宋体" w:cs="宋体" w:hint="eastAsia"/>
          <w:b/>
          <w:bCs/>
          <w:sz w:val="21"/>
          <w:szCs w:val="21"/>
          <w:highlight w:val="yellow"/>
        </w:rPr>
        <w:t>维护费用下浮率</w:t>
      </w:r>
      <w:r>
        <w:rPr>
          <w:rFonts w:ascii="宋体" w:eastAsia="宋体" w:hAnsi="宋体" w:cs="宋体" w:hint="eastAsia"/>
          <w:b/>
          <w:bCs/>
          <w:spacing w:val="10"/>
          <w:sz w:val="21"/>
          <w:szCs w:val="21"/>
          <w:highlight w:val="yellow"/>
        </w:rPr>
        <w:t>）</w:t>
      </w:r>
      <w:r>
        <w:rPr>
          <w:rFonts w:ascii="宋体" w:eastAsia="宋体" w:hAnsi="宋体" w:cs="宋体" w:hint="eastAsia"/>
          <w:b/>
          <w:bCs/>
          <w:sz w:val="21"/>
          <w:szCs w:val="21"/>
          <w:highlight w:val="yellow"/>
        </w:rPr>
        <w:t>计算出该项</w:t>
      </w:r>
      <w:r>
        <w:rPr>
          <w:rFonts w:ascii="宋体" w:eastAsia="宋体" w:hAnsi="宋体" w:cs="宋体" w:hint="eastAsia"/>
          <w:b/>
          <w:bCs/>
          <w:sz w:val="21"/>
          <w:szCs w:val="21"/>
          <w:highlight w:val="yellow"/>
          <w:lang w:val="en-US" w:eastAsia="zh-CN"/>
        </w:rPr>
        <w:t>材料</w:t>
      </w:r>
      <w:r>
        <w:rPr>
          <w:rFonts w:ascii="宋体" w:eastAsia="宋体" w:hAnsi="宋体" w:cs="宋体" w:hint="eastAsia"/>
          <w:b/>
          <w:bCs/>
          <w:sz w:val="21"/>
          <w:szCs w:val="21"/>
          <w:highlight w:val="yellow"/>
        </w:rPr>
        <w:t>价，最终费用以采购人聘请的第三方造价咨询公司审计价为准</w:t>
      </w:r>
      <w:r>
        <w:rPr>
          <w:rFonts w:ascii="宋体" w:eastAsia="宋体" w:hAnsi="宋体" w:cs="宋体" w:hint="eastAsia"/>
          <w:b/>
          <w:bCs/>
          <w:spacing w:val="0"/>
          <w:sz w:val="21"/>
          <w:szCs w:val="21"/>
          <w:highlight w:val="yellow"/>
        </w:rPr>
        <w:t>；</w:t>
      </w:r>
    </w:p>
    <w:p>
      <w:pPr>
        <w:pStyle w:val="a"/>
        <w:keepNext w:val="0"/>
        <w:keepLines w:val="0"/>
        <w:pageBreakBefore w:val="0"/>
        <w:widowControl w:val="0"/>
        <w:kinsoku/>
        <w:wordWrap/>
        <w:overflowPunct/>
        <w:topLinePunct w:val="0"/>
        <w:autoSpaceDE/>
        <w:autoSpaceDN/>
        <w:bidi w:val="0"/>
        <w:adjustRightInd/>
        <w:snapToGrid/>
        <w:spacing w:before="0" w:after="0" w:line="360" w:lineRule="auto"/>
        <w:ind w:firstLine="420" w:firstLineChars="200"/>
        <w:textAlignment w:val="auto"/>
        <w:rPr>
          <w:rFonts w:ascii="宋体" w:eastAsia="宋体" w:hAnsi="宋体" w:cs="宋体" w:hint="default"/>
          <w:b/>
          <w:bCs/>
          <w:spacing w:val="0"/>
          <w:sz w:val="21"/>
          <w:szCs w:val="21"/>
          <w:highlight w:val="yellow"/>
          <w:lang w:val="en-US" w:eastAsia="zh-CN"/>
        </w:rPr>
      </w:pPr>
      <w:r>
        <w:rPr>
          <w:rFonts w:ascii="宋体" w:eastAsia="宋体" w:hAnsi="宋体" w:cs="宋体" w:hint="eastAsia"/>
          <w:b/>
          <w:bCs/>
          <w:spacing w:val="0"/>
          <w:sz w:val="21"/>
          <w:szCs w:val="21"/>
          <w:highlight w:val="yellow"/>
        </w:rPr>
        <w:t>（</w:t>
      </w:r>
      <w:r>
        <w:rPr>
          <w:rFonts w:ascii="宋体" w:hAnsi="宋体" w:cs="宋体" w:hint="eastAsia"/>
          <w:b/>
          <w:bCs/>
          <w:spacing w:val="0"/>
          <w:sz w:val="21"/>
          <w:szCs w:val="21"/>
          <w:highlight w:val="yellow"/>
          <w:lang w:val="en-US" w:eastAsia="zh-CN"/>
        </w:rPr>
        <w:t>3</w:t>
      </w:r>
      <w:r>
        <w:rPr>
          <w:rFonts w:ascii="宋体" w:eastAsia="宋体" w:hAnsi="宋体" w:cs="宋体" w:hint="eastAsia"/>
          <w:b/>
          <w:bCs/>
          <w:spacing w:val="0"/>
          <w:sz w:val="21"/>
          <w:szCs w:val="21"/>
          <w:highlight w:val="yellow"/>
        </w:rPr>
        <w:t>）</w:t>
      </w:r>
      <w:r>
        <w:rPr>
          <w:rFonts w:ascii="宋体" w:hAnsi="宋体" w:cs="宋体" w:hint="eastAsia"/>
          <w:b/>
          <w:bCs/>
          <w:spacing w:val="0"/>
          <w:sz w:val="21"/>
          <w:szCs w:val="21"/>
          <w:highlight w:val="yellow"/>
          <w:lang w:eastAsia="zh-CN"/>
        </w:rPr>
        <w:t>然后</w:t>
      </w:r>
      <w:r>
        <w:rPr>
          <w:rFonts w:ascii="宋体" w:eastAsia="宋体" w:hAnsi="宋体" w:cs="宋体" w:hint="eastAsia"/>
          <w:b/>
          <w:bCs/>
          <w:spacing w:val="0"/>
          <w:sz w:val="21"/>
          <w:szCs w:val="21"/>
          <w:highlight w:val="yellow"/>
        </w:rPr>
        <w:t>根据工程量*</w:t>
      </w:r>
      <w:r>
        <w:rPr>
          <w:rFonts w:ascii="宋体" w:hAnsi="宋体" w:cs="宋体" w:hint="eastAsia"/>
          <w:b/>
          <w:bCs/>
          <w:spacing w:val="0"/>
          <w:sz w:val="21"/>
          <w:szCs w:val="21"/>
          <w:highlight w:val="yellow"/>
          <w:lang w:eastAsia="zh-CN"/>
        </w:rPr>
        <w:t>材料</w:t>
      </w:r>
      <w:r>
        <w:rPr>
          <w:rFonts w:ascii="宋体" w:eastAsia="宋体" w:hAnsi="宋体" w:cs="宋体" w:hint="eastAsia"/>
          <w:b/>
          <w:bCs/>
          <w:spacing w:val="0"/>
          <w:sz w:val="21"/>
          <w:szCs w:val="21"/>
          <w:highlight w:val="yellow"/>
        </w:rPr>
        <w:t>价计算维护费用，最终费用以采购方聘请的第三方造价咨询公司审计价为准</w:t>
      </w:r>
      <w:r>
        <w:rPr>
          <w:rFonts w:ascii="宋体" w:eastAsia="宋体" w:hAnsi="宋体" w:cs="宋体" w:hint="eastAsia"/>
          <w:b/>
          <w:bCs/>
          <w:spacing w:val="0"/>
          <w:sz w:val="21"/>
          <w:szCs w:val="21"/>
          <w:highlight w:val="yellow"/>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eastAsia="宋体" w:hAnsi="宋体" w:cs="宋体" w:hint="eastAsia"/>
          <w:b/>
          <w:bCs/>
          <w:spacing w:val="0"/>
          <w:sz w:val="21"/>
          <w:szCs w:val="21"/>
          <w:highlight w:val="yellow"/>
        </w:rPr>
      </w:pPr>
      <w:r>
        <w:rPr>
          <w:rFonts w:ascii="宋体" w:eastAsia="宋体" w:hAnsi="宋体" w:cs="宋体" w:hint="eastAsia"/>
          <w:b/>
          <w:bCs/>
          <w:spacing w:val="0"/>
          <w:sz w:val="21"/>
          <w:szCs w:val="21"/>
          <w:highlight w:val="yellow"/>
        </w:rPr>
        <w:t>5.维护费用下浮率=（</w:t>
      </w:r>
      <w:r>
        <w:rPr>
          <w:rFonts w:ascii="宋体" w:hAnsi="宋体" w:cs="宋体" w:hint="eastAsia"/>
          <w:b/>
          <w:bCs/>
          <w:spacing w:val="0"/>
          <w:sz w:val="21"/>
          <w:szCs w:val="21"/>
          <w:highlight w:val="yellow"/>
          <w:lang w:val="en-US" w:eastAsia="zh-CN"/>
        </w:rPr>
        <w:t>550</w:t>
      </w:r>
      <w:r>
        <w:rPr>
          <w:rFonts w:ascii="宋体" w:eastAsia="宋体" w:hAnsi="宋体" w:cs="宋体" w:hint="eastAsia"/>
          <w:b/>
          <w:bCs/>
          <w:spacing w:val="0"/>
          <w:sz w:val="21"/>
          <w:szCs w:val="21"/>
          <w:highlight w:val="yellow"/>
        </w:rPr>
        <w:t>0000-中标人维护费用报价）/</w:t>
      </w:r>
      <w:r>
        <w:rPr>
          <w:rFonts w:ascii="宋体" w:hAnsi="宋体" w:cs="宋体" w:hint="eastAsia"/>
          <w:b/>
          <w:bCs/>
          <w:spacing w:val="0"/>
          <w:sz w:val="21"/>
          <w:szCs w:val="21"/>
          <w:highlight w:val="yellow"/>
          <w:lang w:val="en-US" w:eastAsia="zh-CN"/>
        </w:rPr>
        <w:t>550</w:t>
      </w:r>
      <w:r>
        <w:rPr>
          <w:rFonts w:ascii="宋体" w:eastAsia="宋体" w:hAnsi="宋体" w:cs="宋体" w:hint="eastAsia"/>
          <w:b/>
          <w:bCs/>
          <w:spacing w:val="0"/>
          <w:sz w:val="21"/>
          <w:szCs w:val="21"/>
          <w:highlight w:val="yellow"/>
        </w:rPr>
        <w:t>0000*100%。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eastAsia="宋体" w:hAnsi="宋体" w:cs="宋体" w:hint="eastAsia"/>
          <w:b/>
          <w:bCs/>
          <w:spacing w:val="0"/>
          <w:sz w:val="21"/>
          <w:szCs w:val="21"/>
          <w:highlight w:val="yellow"/>
        </w:rPr>
      </w:pPr>
      <w:r>
        <w:rPr>
          <w:rFonts w:ascii="宋体" w:eastAsia="宋体" w:hAnsi="宋体" w:cs="宋体" w:hint="eastAsia"/>
          <w:b/>
          <w:bCs/>
          <w:spacing w:val="0"/>
          <w:sz w:val="21"/>
          <w:szCs w:val="21"/>
          <w:highlight w:val="yellow"/>
        </w:rPr>
        <w:t>6.每</w:t>
      </w:r>
      <w:r>
        <w:rPr>
          <w:rFonts w:ascii="宋体" w:eastAsia="宋体" w:hAnsi="宋体" w:cs="宋体" w:hint="eastAsia"/>
          <w:b/>
          <w:bCs/>
          <w:spacing w:val="0"/>
          <w:sz w:val="21"/>
          <w:szCs w:val="21"/>
          <w:highlight w:val="yellow"/>
          <w:lang w:val="en-US" w:eastAsia="zh-CN"/>
        </w:rPr>
        <w:t>月</w:t>
      </w:r>
      <w:r>
        <w:rPr>
          <w:rFonts w:ascii="宋体" w:eastAsia="宋体" w:hAnsi="宋体" w:cs="宋体" w:hint="eastAsia"/>
          <w:b/>
          <w:bCs/>
          <w:spacing w:val="0"/>
          <w:sz w:val="21"/>
          <w:szCs w:val="21"/>
          <w:highlight w:val="yellow"/>
        </w:rPr>
        <w:t>维护费用为</w:t>
      </w:r>
      <w:r>
        <w:rPr>
          <w:rFonts w:ascii="宋体" w:hAnsi="宋体" w:cs="宋体" w:hint="eastAsia"/>
          <w:b/>
          <w:bCs/>
          <w:spacing w:val="0"/>
          <w:sz w:val="21"/>
          <w:szCs w:val="21"/>
          <w:highlight w:val="yellow"/>
          <w:lang w:val="en-US" w:eastAsia="zh-CN"/>
        </w:rPr>
        <w:t>固定</w:t>
      </w:r>
      <w:r>
        <w:rPr>
          <w:rFonts w:ascii="宋体" w:eastAsia="宋体" w:hAnsi="宋体" w:cs="宋体" w:hint="eastAsia"/>
          <w:b/>
          <w:bCs/>
          <w:spacing w:val="0"/>
          <w:sz w:val="21"/>
          <w:szCs w:val="21"/>
          <w:highlight w:val="yellow"/>
          <w:lang w:val="en-US" w:eastAsia="zh-CN"/>
        </w:rPr>
        <w:t>费用与维护费用</w:t>
      </w:r>
      <w:r>
        <w:rPr>
          <w:rFonts w:ascii="宋体" w:eastAsia="宋体" w:hAnsi="宋体" w:cs="宋体" w:hint="eastAsia"/>
          <w:b/>
          <w:bCs/>
          <w:spacing w:val="0"/>
          <w:sz w:val="21"/>
          <w:szCs w:val="21"/>
          <w:highlight w:val="yellow"/>
        </w:rPr>
        <w:t>之和减去</w:t>
      </w:r>
      <w:r>
        <w:rPr>
          <w:rFonts w:ascii="宋体" w:eastAsia="宋体" w:hAnsi="宋体" w:cs="宋体" w:hint="eastAsia"/>
          <w:b/>
          <w:bCs/>
          <w:spacing w:val="0"/>
          <w:sz w:val="21"/>
          <w:szCs w:val="21"/>
          <w:highlight w:val="yellow"/>
          <w:lang w:val="en-US" w:eastAsia="zh-CN"/>
        </w:rPr>
        <w:t>月</w:t>
      </w:r>
      <w:r>
        <w:rPr>
          <w:rFonts w:ascii="宋体" w:eastAsia="宋体" w:hAnsi="宋体" w:cs="宋体" w:hint="eastAsia"/>
          <w:b/>
          <w:bCs/>
          <w:spacing w:val="0"/>
          <w:sz w:val="21"/>
          <w:szCs w:val="21"/>
          <w:highlight w:val="yellow"/>
        </w:rPr>
        <w:t>维护考核扣除部分。</w:t>
      </w:r>
    </w:p>
    <w:p>
      <w:pPr>
        <w:pStyle w:val="a"/>
        <w:keepNext w:val="0"/>
        <w:keepLines w:val="0"/>
        <w:pageBreakBefore w:val="0"/>
        <w:widowControl w:val="0"/>
        <w:kinsoku/>
        <w:wordWrap/>
        <w:overflowPunct/>
        <w:topLinePunct w:val="0"/>
        <w:bidi w:val="0"/>
        <w:snapToGrid/>
        <w:spacing w:before="0" w:after="0" w:line="360" w:lineRule="auto"/>
        <w:ind w:firstLine="420" w:firstLineChars="200"/>
        <w:textAlignment w:val="auto"/>
        <w:rPr>
          <w:rFonts w:ascii="宋体" w:eastAsia="宋体" w:hAnsi="宋体" w:cs="宋体" w:hint="eastAsia"/>
          <w:b/>
          <w:bCs/>
          <w:spacing w:val="0"/>
          <w:sz w:val="21"/>
          <w:szCs w:val="21"/>
          <w:highlight w:val="yellow"/>
        </w:rPr>
      </w:pPr>
      <w:r>
        <w:rPr>
          <w:rFonts w:ascii="宋体" w:eastAsia="宋体" w:hAnsi="宋体" w:cs="宋体" w:hint="eastAsia"/>
          <w:b/>
          <w:bCs/>
          <w:spacing w:val="0"/>
          <w:sz w:val="21"/>
          <w:szCs w:val="21"/>
          <w:highlight w:val="yellow"/>
        </w:rPr>
        <w:t>7.若中标人每次上报的维护材料送审价经采购方聘请的造价咨询公司审核后核减率≥10%，则采购方将按10000元/次进行处罚，处罚金额从下月维护费用中扣除。</w:t>
      </w:r>
    </w:p>
    <w:p>
      <w:pPr>
        <w:keepNext w:val="0"/>
        <w:keepLines w:val="0"/>
        <w:pageBreakBefore w:val="0"/>
        <w:widowControl w:val="0"/>
        <w:kinsoku/>
        <w:wordWrap/>
        <w:overflowPunct/>
        <w:topLinePunct w:val="0"/>
        <w:bidi w:val="0"/>
        <w:adjustRightInd w:val="0"/>
        <w:snapToGrid/>
        <w:spacing w:line="360" w:lineRule="auto"/>
        <w:ind w:firstLine="420" w:firstLineChars="200"/>
        <w:textAlignment w:val="auto"/>
        <w:rPr>
          <w:rFonts w:ascii="宋体" w:eastAsia="宋体" w:hAnsi="宋体" w:cs="宋体" w:hint="eastAsia"/>
          <w:b/>
          <w:bCs/>
          <w:szCs w:val="21"/>
          <w:highlight w:val="yellow"/>
        </w:rPr>
      </w:pPr>
      <w:r>
        <w:rPr>
          <w:rFonts w:ascii="宋体" w:eastAsia="宋体" w:hAnsi="宋体" w:cs="宋体" w:hint="eastAsia"/>
          <w:b/>
          <w:bCs/>
          <w:szCs w:val="21"/>
          <w:highlight w:val="yellow"/>
        </w:rPr>
        <w:t>8.</w:t>
      </w:r>
      <w:r>
        <w:rPr>
          <w:rFonts w:ascii="宋体" w:eastAsia="宋体" w:hAnsi="宋体" w:cs="宋体" w:hint="eastAsia"/>
          <w:b/>
          <w:bCs/>
          <w:szCs w:val="21"/>
          <w:highlight w:val="yellow"/>
          <w:lang w:val="en-US" w:eastAsia="zh-CN"/>
        </w:rPr>
        <w:t>维护费用每半年报送</w:t>
      </w:r>
      <w:r>
        <w:rPr>
          <w:rFonts w:ascii="宋体" w:eastAsia="宋体" w:hAnsi="宋体" w:cs="宋体" w:hint="eastAsia"/>
          <w:b/>
          <w:bCs/>
          <w:szCs w:val="21"/>
          <w:highlight w:val="yellow"/>
        </w:rPr>
        <w:t>采购方上级主管部门深圳市城市管理和综合执法局</w:t>
      </w:r>
      <w:r>
        <w:rPr>
          <w:rFonts w:ascii="宋体" w:eastAsia="宋体" w:hAnsi="宋体" w:cs="宋体" w:hint="eastAsia"/>
          <w:b/>
          <w:bCs/>
          <w:szCs w:val="21"/>
          <w:highlight w:val="yellow"/>
          <w:lang w:val="en-US" w:eastAsia="zh-CN"/>
        </w:rPr>
        <w:t>进行</w:t>
      </w:r>
      <w:r>
        <w:rPr>
          <w:rFonts w:ascii="宋体" w:eastAsia="宋体" w:hAnsi="宋体" w:cs="宋体" w:hint="eastAsia"/>
          <w:b/>
          <w:bCs/>
          <w:szCs w:val="21"/>
          <w:highlight w:val="yellow"/>
        </w:rPr>
        <w:t>审计，</w:t>
      </w:r>
      <w:r>
        <w:rPr>
          <w:rFonts w:ascii="宋体" w:eastAsia="宋体" w:hAnsi="宋体" w:cs="宋体" w:hint="eastAsia"/>
          <w:b/>
          <w:bCs/>
          <w:szCs w:val="21"/>
          <w:highlight w:val="yellow"/>
          <w:lang w:val="en-US" w:eastAsia="zh-CN"/>
        </w:rPr>
        <w:t>如有增减的</w:t>
      </w:r>
      <w:r>
        <w:rPr>
          <w:rFonts w:ascii="宋体" w:eastAsia="宋体" w:hAnsi="宋体" w:cs="宋体" w:hint="eastAsia"/>
          <w:b/>
          <w:bCs/>
          <w:szCs w:val="21"/>
          <w:highlight w:val="yellow"/>
        </w:rPr>
        <w:t>以</w:t>
      </w:r>
      <w:r>
        <w:rPr>
          <w:rFonts w:ascii="宋体" w:eastAsia="宋体" w:hAnsi="宋体" w:cs="宋体" w:hint="eastAsia"/>
          <w:b/>
          <w:bCs/>
          <w:szCs w:val="21"/>
          <w:highlight w:val="yellow"/>
          <w:lang w:val="en-US" w:eastAsia="zh-CN"/>
        </w:rPr>
        <w:t>上级主管部门</w:t>
      </w:r>
      <w:r>
        <w:rPr>
          <w:rFonts w:ascii="宋体" w:eastAsia="宋体" w:hAnsi="宋体" w:cs="宋体" w:hint="eastAsia"/>
          <w:b/>
          <w:bCs/>
          <w:szCs w:val="21"/>
          <w:highlight w:val="yellow"/>
        </w:rPr>
        <w:t>审计价为准。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eastAsia="宋体" w:hAnsi="宋体" w:cs="宋体" w:hint="eastAsia"/>
          <w:b/>
          <w:bCs/>
          <w:sz w:val="21"/>
          <w:szCs w:val="21"/>
          <w:highlight w:val="yellow"/>
        </w:rPr>
      </w:pPr>
      <w:r>
        <w:rPr>
          <w:rFonts w:ascii="宋体" w:hAnsi="宋体" w:cs="宋体" w:hint="eastAsia"/>
          <w:b/>
          <w:bCs/>
          <w:szCs w:val="21"/>
          <w:highlight w:val="yellow"/>
          <w:lang w:val="en-US" w:eastAsia="zh-CN"/>
        </w:rPr>
        <w:t>9</w:t>
      </w:r>
      <w:r>
        <w:rPr>
          <w:rFonts w:ascii="宋体" w:eastAsia="宋体" w:hAnsi="宋体" w:cs="宋体" w:hint="eastAsia"/>
          <w:b/>
          <w:bCs/>
          <w:szCs w:val="21"/>
          <w:highlight w:val="yellow"/>
        </w:rPr>
        <w:t>.因维护费由政府拨款，如因政策的影响，拨款未能及时到位，中标人不得据此不履行合同规定的义</w:t>
      </w:r>
      <w:r>
        <w:rPr>
          <w:rFonts w:ascii="宋体" w:eastAsia="宋体" w:hAnsi="宋体" w:cs="宋体" w:hint="eastAsia"/>
          <w:b/>
          <w:bCs/>
          <w:sz w:val="21"/>
          <w:szCs w:val="21"/>
          <w:highlight w:val="yellow"/>
        </w:rPr>
        <w:t>务，否则采购方按规定扣罚。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eastAsia="宋体" w:hAnsi="宋体" w:cs="宋体" w:hint="eastAsia"/>
          <w:b/>
          <w:bCs/>
          <w:sz w:val="21"/>
          <w:szCs w:val="21"/>
          <w:highlight w:val="yellow"/>
          <w:u w:val="none"/>
          <w:lang w:val="en-US" w:eastAsia="zh-CN"/>
        </w:rPr>
      </w:pPr>
      <w:r>
        <w:rPr>
          <w:rFonts w:ascii="宋体" w:hAnsi="宋体" w:cs="宋体" w:hint="eastAsia"/>
          <w:b/>
          <w:bCs/>
          <w:sz w:val="21"/>
          <w:szCs w:val="21"/>
          <w:highlight w:val="yellow"/>
          <w:lang w:val="en-US" w:eastAsia="zh-CN"/>
        </w:rPr>
        <w:t>10</w:t>
      </w:r>
      <w:r>
        <w:rPr>
          <w:rFonts w:ascii="宋体" w:eastAsia="宋体" w:hAnsi="宋体" w:cs="宋体" w:hint="eastAsia"/>
          <w:b/>
          <w:bCs/>
          <w:sz w:val="21"/>
          <w:szCs w:val="21"/>
          <w:highlight w:val="yellow"/>
        </w:rPr>
        <w:t>.</w:t>
      </w:r>
      <w:r>
        <w:rPr>
          <w:rFonts w:ascii="宋体" w:eastAsia="宋体" w:hAnsi="宋体" w:cs="宋体" w:hint="eastAsia"/>
          <w:b/>
          <w:bCs/>
          <w:sz w:val="21"/>
          <w:szCs w:val="21"/>
          <w:highlight w:val="yellow"/>
          <w:lang w:val="en-US" w:eastAsia="zh-CN"/>
        </w:rPr>
        <w:t>履约保证金在</w:t>
      </w:r>
      <w:r>
        <w:rPr>
          <w:rFonts w:ascii="宋体" w:hAnsi="宋体" w:cs="宋体" w:hint="eastAsia"/>
          <w:b/>
          <w:bCs/>
          <w:sz w:val="21"/>
          <w:szCs w:val="21"/>
          <w:highlight w:val="yellow"/>
          <w:lang w:val="en-US" w:eastAsia="zh-CN"/>
        </w:rPr>
        <w:t>项目服务期结束</w:t>
      </w:r>
      <w:r>
        <w:rPr>
          <w:rFonts w:ascii="宋体" w:eastAsia="宋体" w:hAnsi="宋体" w:cs="宋体" w:hint="eastAsia"/>
          <w:b/>
          <w:bCs/>
          <w:sz w:val="21"/>
          <w:szCs w:val="21"/>
          <w:highlight w:val="yellow"/>
        </w:rPr>
        <w:t>、</w:t>
      </w:r>
      <w:r>
        <w:rPr>
          <w:rFonts w:ascii="宋体" w:hAnsi="宋体" w:cs="宋体" w:hint="eastAsia"/>
          <w:b/>
          <w:bCs/>
          <w:sz w:val="21"/>
          <w:szCs w:val="21"/>
          <w:highlight w:val="yellow"/>
          <w:lang w:val="en-US" w:eastAsia="zh-CN"/>
        </w:rPr>
        <w:t>中标人将高压设施完好移交给采购人并提交</w:t>
      </w:r>
      <w:r>
        <w:rPr>
          <w:rFonts w:ascii="宋体" w:eastAsia="宋体" w:hAnsi="宋体" w:cs="宋体" w:hint="eastAsia"/>
          <w:b/>
          <w:bCs/>
          <w:sz w:val="21"/>
          <w:szCs w:val="21"/>
          <w:highlight w:val="yellow"/>
          <w:lang w:val="en-US" w:eastAsia="zh-CN"/>
        </w:rPr>
        <w:t>书面退还履约担保申请后</w:t>
      </w:r>
      <w:r>
        <w:rPr>
          <w:rFonts w:ascii="宋体" w:hAnsi="宋体" w:cs="宋体" w:hint="eastAsia"/>
          <w:b/>
          <w:bCs/>
          <w:sz w:val="21"/>
          <w:szCs w:val="21"/>
          <w:highlight w:val="yellow"/>
          <w:lang w:val="en-US" w:eastAsia="zh-CN"/>
        </w:rPr>
        <w:t>，</w:t>
      </w:r>
      <w:r>
        <w:rPr>
          <w:rFonts w:ascii="宋体" w:eastAsia="宋体" w:hAnsi="宋体" w:cs="宋体" w:hint="eastAsia"/>
          <w:b/>
          <w:bCs/>
          <w:sz w:val="21"/>
          <w:szCs w:val="21"/>
          <w:highlight w:val="yellow"/>
          <w:lang w:val="en-US" w:eastAsia="zh-CN"/>
        </w:rPr>
        <w:t>30日内按原方式退还，不计利息</w:t>
      </w:r>
      <w:r>
        <w:rPr>
          <w:rFonts w:ascii="宋体" w:eastAsia="宋体" w:hAnsi="宋体" w:cs="宋体" w:hint="eastAsia"/>
          <w:b/>
          <w:bCs/>
          <w:sz w:val="21"/>
          <w:szCs w:val="21"/>
          <w:highlight w:val="yellow"/>
          <w:u w:val="none"/>
        </w:rPr>
        <w:t>。</w:t>
      </w:r>
      <w:r>
        <w:rPr>
          <w:rFonts w:ascii="宋体" w:eastAsia="宋体" w:hAnsi="宋体" w:cs="宋体" w:hint="eastAsia"/>
          <w:b/>
          <w:bCs/>
          <w:sz w:val="21"/>
          <w:szCs w:val="21"/>
          <w:highlight w:val="yellow"/>
          <w:u w:val="none"/>
          <w:lang w:val="en-US" w:eastAsia="zh-CN"/>
        </w:rPr>
        <w:t>因乙方原因而未能达到本项目验收标准或验收不通过的，履约保证金不予退还。</w:t>
      </w:r>
    </w:p>
    <w:p>
      <w:pPr>
        <w:pStyle w:val="BodyText"/>
        <w:ind w:firstLine="420" w:firstLineChars="200"/>
        <w:rPr>
          <w:rFonts w:hint="eastAsia"/>
        </w:rPr>
      </w:pPr>
      <w:r>
        <w:rPr>
          <w:rFonts w:ascii="宋体" w:hAnsi="宋体" w:hint="eastAsia"/>
          <w:sz w:val="21"/>
          <w:szCs w:val="21"/>
          <w:highlight w:val="yellow"/>
          <w:lang w:val="en-US" w:eastAsia="zh-CN"/>
        </w:rPr>
        <w:t>11</w:t>
      </w:r>
      <w:r>
        <w:rPr>
          <w:rFonts w:ascii="宋体" w:hAnsi="宋体" w:hint="eastAsia"/>
          <w:sz w:val="21"/>
          <w:szCs w:val="21"/>
          <w:highlight w:val="yellow"/>
        </w:rPr>
        <w:t>.项目实施过程中涉及道路挖掘与恢复、绿化开挖与恢复、涉燃气施工、涉地铁施工、供用电手续办理等情况，相关主管部门明确要求由指定单位进行恢复或采取特定措施的，经招标人同意后</w:t>
      </w:r>
      <w:r>
        <w:rPr>
          <w:rFonts w:ascii="宋体" w:hAnsi="宋体" w:hint="eastAsia"/>
          <w:sz w:val="21"/>
          <w:szCs w:val="21"/>
          <w:highlight w:val="yellow"/>
          <w:lang w:eastAsia="zh-CN"/>
        </w:rPr>
        <w:t>由中标人</w:t>
      </w:r>
      <w:r>
        <w:rPr>
          <w:rFonts w:ascii="宋体" w:hAnsi="宋体" w:hint="eastAsia"/>
          <w:sz w:val="21"/>
          <w:szCs w:val="21"/>
          <w:highlight w:val="yellow"/>
        </w:rPr>
        <w:t>予以实施，所产生费用可根据相关部门指导价予以结算，中标人需提供完整资料用于结算。最终结算价以采购人上级主管部门审计价为准。</w:t>
      </w:r>
    </w:p>
    <w:p>
      <w:pPr>
        <w:keepNext w:val="0"/>
        <w:keepLines w:val="0"/>
        <w:pageBreakBefore w:val="0"/>
        <w:widowControl w:val="0"/>
        <w:kinsoku/>
        <w:wordWrap/>
        <w:overflowPunct/>
        <w:topLinePunct w:val="0"/>
        <w:bidi w:val="0"/>
        <w:snapToGrid/>
        <w:spacing w:line="360" w:lineRule="auto"/>
        <w:ind w:firstLine="420" w:firstLineChars="200"/>
        <w:textAlignment w:val="auto"/>
        <w:rPr>
          <w:rFonts w:ascii="宋体" w:eastAsia="宋体" w:hAnsi="宋体" w:cs="宋体" w:hint="eastAsia"/>
          <w:b/>
          <w:szCs w:val="21"/>
        </w:rPr>
      </w:pPr>
      <w:r>
        <w:rPr>
          <w:rFonts w:ascii="宋体" w:eastAsia="宋体" w:hAnsi="宋体" w:cs="宋体" w:hint="eastAsia"/>
          <w:b/>
          <w:szCs w:val="21"/>
        </w:rPr>
        <w:t>（三）投标报价</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eastAsia="宋体" w:hAnsi="宋体" w:cs="宋体" w:hint="eastAsia"/>
          <w:b/>
          <w:bCs/>
          <w:szCs w:val="21"/>
          <w:highlight w:val="yellow"/>
        </w:rPr>
      </w:pPr>
      <w:r>
        <w:rPr>
          <w:rFonts w:ascii="宋体" w:eastAsia="宋体" w:hAnsi="宋体" w:cs="宋体" w:hint="eastAsia"/>
          <w:b/>
          <w:bCs/>
          <w:color w:val="000000"/>
          <w:szCs w:val="21"/>
          <w:highlight w:val="yellow"/>
        </w:rPr>
        <w:t>★</w:t>
      </w:r>
      <w:r>
        <w:rPr>
          <w:rFonts w:ascii="宋体" w:eastAsia="宋体" w:hAnsi="宋体" w:cs="宋体" w:hint="eastAsia"/>
          <w:b/>
          <w:bCs/>
          <w:szCs w:val="21"/>
          <w:highlight w:val="yellow"/>
        </w:rPr>
        <w:t>1.本项目为包干制，报价中需包括服务成本、路灯箱变及线路维护工具及设备和设备使用费、法定税费和企业的利润等一切为完成本项目所应尽的费用。投标人在投标文件“详细分项报价”中提供的分项报价应至少包括以下内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ascii="宋体" w:eastAsia="宋体" w:hAnsi="宋体" w:cs="宋体" w:hint="eastAsia"/>
          <w:b/>
          <w:bCs/>
          <w:szCs w:val="21"/>
          <w:highlight w:val="yellow"/>
        </w:rPr>
      </w:pPr>
      <w:r>
        <w:rPr>
          <w:rFonts w:ascii="宋体" w:eastAsia="宋体" w:hAnsi="宋体" w:cs="宋体" w:hint="eastAsia"/>
          <w:b/>
          <w:bCs/>
          <w:szCs w:val="21"/>
          <w:highlight w:val="yellow"/>
        </w:rPr>
        <w:t>（1）</w:t>
      </w:r>
      <w:r>
        <w:rPr>
          <w:rFonts w:ascii="宋体" w:hAnsi="宋体" w:cs="宋体" w:hint="eastAsia"/>
          <w:b/>
          <w:bCs/>
          <w:szCs w:val="21"/>
          <w:highlight w:val="yellow"/>
          <w:lang w:val="en-US" w:eastAsia="zh-CN"/>
        </w:rPr>
        <w:t>固定</w:t>
      </w:r>
      <w:r>
        <w:rPr>
          <w:rFonts w:ascii="宋体" w:eastAsia="宋体" w:hAnsi="宋体" w:cs="宋体" w:hint="eastAsia"/>
          <w:b/>
          <w:bCs/>
          <w:szCs w:val="21"/>
          <w:highlight w:val="yellow"/>
        </w:rPr>
        <w:t>费用（含员工工资、加班费、奖金、福利、服装、社保、保险等费用和行政办公费、房租费、通讯费、人员装备费</w:t>
      </w:r>
      <w:r>
        <w:rPr>
          <w:rFonts w:ascii="宋体" w:hAnsi="宋体" w:cs="宋体" w:hint="eastAsia"/>
          <w:b/>
          <w:bCs/>
          <w:szCs w:val="21"/>
          <w:highlight w:val="yellow"/>
          <w:lang w:eastAsia="zh-CN"/>
        </w:rPr>
        <w:t>、车辆费用</w:t>
      </w:r>
      <w:r>
        <w:rPr>
          <w:rFonts w:ascii="宋体" w:eastAsia="宋体" w:hAnsi="宋体" w:cs="宋体" w:hint="eastAsia"/>
          <w:b/>
          <w:bCs/>
          <w:szCs w:val="21"/>
          <w:highlight w:val="yellow"/>
        </w:rPr>
        <w:t>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rPr>
          <w:rFonts w:ascii="宋体" w:eastAsia="宋体" w:hAnsi="宋体" w:cs="宋体" w:hint="eastAsia"/>
          <w:szCs w:val="21"/>
          <w:highlight w:val="none"/>
        </w:rPr>
      </w:pPr>
      <w:r>
        <w:rPr>
          <w:rFonts w:ascii="宋体" w:eastAsia="宋体" w:hAnsi="宋体" w:cs="宋体" w:hint="eastAsia"/>
          <w:b/>
          <w:bCs/>
          <w:szCs w:val="21"/>
          <w:highlight w:val="yellow"/>
        </w:rPr>
        <w:t>（2）维护费用（</w:t>
      </w:r>
      <w:r>
        <w:rPr>
          <w:rFonts w:ascii="宋体" w:eastAsia="宋体" w:hAnsi="宋体" w:cs="宋体" w:hint="default"/>
          <w:b/>
          <w:bCs w:val="0"/>
          <w:color w:val="auto"/>
          <w:sz w:val="21"/>
          <w:szCs w:val="21"/>
          <w:highlight w:val="yellow"/>
          <w:lang w:val="en-US" w:eastAsia="zh-CN"/>
        </w:rPr>
        <w:t>该部分为综合单价（含材料费、人工费、车辆台班费</w:t>
      </w:r>
      <w:r>
        <w:rPr>
          <w:rFonts w:ascii="宋体" w:eastAsia="宋体" w:hAnsi="宋体" w:cs="宋体" w:hint="eastAsia"/>
          <w:b/>
          <w:bCs w:val="0"/>
          <w:color w:val="auto"/>
          <w:sz w:val="21"/>
          <w:szCs w:val="21"/>
          <w:highlight w:val="yellow"/>
          <w:lang w:val="en-US" w:eastAsia="zh-CN"/>
        </w:rPr>
        <w:t>、管理费、利润</w:t>
      </w:r>
      <w:r>
        <w:rPr>
          <w:rFonts w:ascii="宋体" w:eastAsia="宋体" w:hAnsi="宋体" w:cs="宋体" w:hint="default"/>
          <w:b/>
          <w:bCs w:val="0"/>
          <w:color w:val="auto"/>
          <w:sz w:val="21"/>
          <w:szCs w:val="21"/>
          <w:highlight w:val="yellow"/>
          <w:lang w:val="en-US" w:eastAsia="zh-CN"/>
        </w:rPr>
        <w:t>）、规费、措施费、税费及其他等等</w:t>
      </w:r>
      <w:r>
        <w:rPr>
          <w:rFonts w:ascii="宋体" w:eastAsia="宋体" w:hAnsi="宋体" w:cs="宋体" w:hint="eastAsia"/>
          <w:b/>
          <w:bCs/>
          <w:szCs w:val="21"/>
          <w:highlight w:val="yellow"/>
        </w:rPr>
        <w:t>）。</w:t>
      </w:r>
    </w:p>
    <w:tbl>
      <w:tblPr>
        <w:tblStyle w:val="TableGrid"/>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87"/>
        <w:gridCol w:w="1095"/>
        <w:gridCol w:w="3881"/>
        <w:gridCol w:w="1528"/>
        <w:gridCol w:w="1839"/>
      </w:tblGrid>
      <w:tr>
        <w:tblPrEx>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hRule="exact" w:val="1018"/>
          <w:tblHeader/>
          <w:jc w:val="center"/>
        </w:trPr>
        <w:tc>
          <w:tcPr>
            <w:tcW w:w="687" w:type="dxa"/>
            <w:vAlign w:val="center"/>
          </w:tcPr>
          <w:p>
            <w:pPr>
              <w:keepNext w:val="0"/>
              <w:keepLines w:val="0"/>
              <w:pageBreakBefore w:val="0"/>
              <w:widowControl w:val="0"/>
              <w:kinsoku/>
              <w:wordWrap/>
              <w:overflowPunct/>
              <w:topLinePunct w:val="0"/>
              <w:bidi w:val="0"/>
              <w:snapToGrid/>
              <w:spacing w:line="360" w:lineRule="auto"/>
              <w:jc w:val="center"/>
              <w:rPr>
                <w:rFonts w:ascii="宋体" w:eastAsia="宋体" w:hAnsi="宋体" w:cs="宋体" w:hint="eastAsia"/>
                <w:b/>
                <w:bCs/>
                <w:sz w:val="21"/>
                <w:szCs w:val="21"/>
              </w:rPr>
            </w:pPr>
            <w:r>
              <w:rPr>
                <w:rFonts w:ascii="宋体" w:eastAsia="宋体" w:hAnsi="宋体" w:cs="宋体" w:hint="eastAsia"/>
                <w:b/>
                <w:bCs/>
                <w:sz w:val="21"/>
                <w:szCs w:val="21"/>
              </w:rPr>
              <w:t>序号</w:t>
            </w:r>
          </w:p>
        </w:tc>
        <w:tc>
          <w:tcPr>
            <w:tcW w:w="1095" w:type="dxa"/>
            <w:vAlign w:val="center"/>
          </w:tcPr>
          <w:p>
            <w:pPr>
              <w:keepNext w:val="0"/>
              <w:keepLines w:val="0"/>
              <w:pageBreakBefore w:val="0"/>
              <w:widowControl w:val="0"/>
              <w:kinsoku/>
              <w:wordWrap/>
              <w:overflowPunct/>
              <w:topLinePunct w:val="0"/>
              <w:bidi w:val="0"/>
              <w:snapToGrid/>
              <w:spacing w:line="360" w:lineRule="auto"/>
              <w:jc w:val="center"/>
              <w:rPr>
                <w:rFonts w:ascii="宋体" w:eastAsia="宋体" w:hAnsi="宋体" w:cs="宋体" w:hint="eastAsia"/>
                <w:b/>
                <w:bCs/>
                <w:sz w:val="21"/>
                <w:szCs w:val="21"/>
              </w:rPr>
            </w:pPr>
            <w:r>
              <w:rPr>
                <w:rFonts w:ascii="宋体" w:eastAsia="宋体" w:hAnsi="宋体" w:cs="宋体" w:hint="eastAsia"/>
                <w:b/>
                <w:bCs/>
                <w:sz w:val="21"/>
                <w:szCs w:val="21"/>
              </w:rPr>
              <w:t>项目名称</w:t>
            </w:r>
          </w:p>
        </w:tc>
        <w:tc>
          <w:tcPr>
            <w:tcW w:w="3881" w:type="dxa"/>
            <w:vAlign w:val="center"/>
          </w:tcPr>
          <w:p>
            <w:pPr>
              <w:keepNext w:val="0"/>
              <w:keepLines w:val="0"/>
              <w:pageBreakBefore w:val="0"/>
              <w:widowControl w:val="0"/>
              <w:kinsoku/>
              <w:wordWrap/>
              <w:overflowPunct/>
              <w:topLinePunct w:val="0"/>
              <w:bidi w:val="0"/>
              <w:snapToGrid/>
              <w:spacing w:line="360" w:lineRule="auto"/>
              <w:jc w:val="center"/>
              <w:rPr>
                <w:rFonts w:ascii="宋体" w:eastAsia="宋体" w:hAnsi="宋体" w:cs="宋体" w:hint="eastAsia"/>
                <w:b/>
                <w:bCs/>
                <w:sz w:val="21"/>
                <w:szCs w:val="21"/>
              </w:rPr>
            </w:pPr>
            <w:r>
              <w:rPr>
                <w:rFonts w:ascii="宋体" w:eastAsia="宋体" w:hAnsi="宋体" w:cs="宋体" w:hint="eastAsia"/>
                <w:b/>
                <w:bCs/>
                <w:sz w:val="21"/>
                <w:szCs w:val="21"/>
              </w:rPr>
              <w:t>需求</w:t>
            </w:r>
          </w:p>
        </w:tc>
        <w:tc>
          <w:tcPr>
            <w:tcW w:w="1528" w:type="dxa"/>
            <w:vAlign w:val="center"/>
          </w:tcPr>
          <w:p>
            <w:pPr>
              <w:keepNext w:val="0"/>
              <w:keepLines w:val="0"/>
              <w:pageBreakBefore w:val="0"/>
              <w:widowControl w:val="0"/>
              <w:kinsoku/>
              <w:wordWrap/>
              <w:overflowPunct/>
              <w:topLinePunct w:val="0"/>
              <w:bidi w:val="0"/>
              <w:snapToGrid/>
              <w:spacing w:line="360" w:lineRule="auto"/>
              <w:jc w:val="center"/>
              <w:rPr>
                <w:rFonts w:ascii="宋体" w:eastAsia="宋体" w:hAnsi="宋体" w:cs="宋体" w:hint="eastAsia"/>
                <w:b/>
                <w:bCs/>
                <w:sz w:val="21"/>
                <w:szCs w:val="21"/>
              </w:rPr>
            </w:pPr>
            <w:r>
              <w:rPr>
                <w:rFonts w:ascii="宋体" w:eastAsia="宋体" w:hAnsi="宋体" w:cs="宋体" w:hint="eastAsia"/>
                <w:b/>
                <w:bCs/>
                <w:sz w:val="21"/>
                <w:szCs w:val="21"/>
              </w:rPr>
              <w:t>最高限价</w:t>
            </w:r>
          </w:p>
          <w:p>
            <w:pPr>
              <w:keepNext w:val="0"/>
              <w:keepLines w:val="0"/>
              <w:pageBreakBefore w:val="0"/>
              <w:widowControl w:val="0"/>
              <w:kinsoku/>
              <w:wordWrap/>
              <w:overflowPunct/>
              <w:topLinePunct w:val="0"/>
              <w:bidi w:val="0"/>
              <w:snapToGrid/>
              <w:spacing w:line="360" w:lineRule="auto"/>
              <w:jc w:val="center"/>
              <w:rPr>
                <w:rFonts w:ascii="宋体" w:eastAsia="宋体" w:hAnsi="宋体" w:cs="宋体" w:hint="eastAsia"/>
                <w:b/>
                <w:bCs/>
                <w:sz w:val="21"/>
                <w:szCs w:val="21"/>
              </w:rPr>
            </w:pPr>
            <w:r>
              <w:rPr>
                <w:rFonts w:ascii="宋体" w:eastAsia="宋体" w:hAnsi="宋体" w:cs="宋体" w:hint="eastAsia"/>
                <w:b/>
                <w:bCs/>
                <w:sz w:val="21"/>
                <w:szCs w:val="21"/>
              </w:rPr>
              <w:t>（元）</w:t>
            </w:r>
          </w:p>
        </w:tc>
        <w:tc>
          <w:tcPr>
            <w:tcW w:w="1839" w:type="dxa"/>
            <w:vAlign w:val="center"/>
          </w:tcPr>
          <w:p>
            <w:pPr>
              <w:keepNext w:val="0"/>
              <w:keepLines w:val="0"/>
              <w:pageBreakBefore w:val="0"/>
              <w:widowControl w:val="0"/>
              <w:kinsoku/>
              <w:wordWrap/>
              <w:overflowPunct/>
              <w:topLinePunct w:val="0"/>
              <w:bidi w:val="0"/>
              <w:snapToGrid/>
              <w:spacing w:line="360" w:lineRule="auto"/>
              <w:jc w:val="center"/>
              <w:rPr>
                <w:rFonts w:ascii="宋体" w:eastAsia="宋体" w:hAnsi="宋体" w:cs="宋体" w:hint="eastAsia"/>
                <w:b/>
                <w:bCs/>
                <w:sz w:val="21"/>
                <w:szCs w:val="21"/>
              </w:rPr>
            </w:pPr>
            <w:r>
              <w:rPr>
                <w:rFonts w:ascii="宋体" w:eastAsia="宋体" w:hAnsi="宋体" w:cs="宋体" w:hint="eastAsia"/>
                <w:b/>
                <w:bCs/>
                <w:sz w:val="21"/>
                <w:szCs w:val="21"/>
              </w:rPr>
              <w:t>备注</w:t>
            </w:r>
          </w:p>
        </w:tc>
      </w:tr>
      <w:tr>
        <w:tblPrEx>
          <w:tblW w:w="9030" w:type="dxa"/>
          <w:jc w:val="center"/>
          <w:tblLayout w:type="fixed"/>
          <w:tblCellMar>
            <w:top w:w="0" w:type="dxa"/>
            <w:left w:w="108" w:type="dxa"/>
            <w:bottom w:w="0" w:type="dxa"/>
            <w:right w:w="108" w:type="dxa"/>
          </w:tblCellMar>
        </w:tblPrEx>
        <w:trPr>
          <w:trHeight w:hRule="exact" w:val="1415"/>
          <w:jc w:val="center"/>
        </w:trPr>
        <w:tc>
          <w:tcPr>
            <w:tcW w:w="687" w:type="dxa"/>
            <w:vAlign w:val="center"/>
          </w:tcPr>
          <w:p>
            <w:pPr>
              <w:keepNext w:val="0"/>
              <w:keepLines w:val="0"/>
              <w:pageBreakBefore w:val="0"/>
              <w:widowControl w:val="0"/>
              <w:kinsoku/>
              <w:wordWrap/>
              <w:overflowPunct/>
              <w:topLinePunct w:val="0"/>
              <w:bidi w:val="0"/>
              <w:snapToGrid/>
              <w:spacing w:line="360" w:lineRule="auto"/>
              <w:jc w:val="center"/>
              <w:rPr>
                <w:rFonts w:ascii="宋体" w:eastAsia="宋体" w:hAnsi="宋体" w:cs="宋体" w:hint="eastAsia"/>
                <w:sz w:val="21"/>
                <w:szCs w:val="21"/>
              </w:rPr>
            </w:pPr>
            <w:r>
              <w:rPr>
                <w:rFonts w:ascii="宋体" w:eastAsia="宋体" w:hAnsi="宋体" w:cs="宋体" w:hint="eastAsia"/>
                <w:sz w:val="21"/>
                <w:szCs w:val="21"/>
              </w:rPr>
              <w:t>1</w:t>
            </w:r>
          </w:p>
        </w:tc>
        <w:tc>
          <w:tcPr>
            <w:tcW w:w="1095" w:type="dxa"/>
            <w:vAlign w:val="center"/>
          </w:tcPr>
          <w:p>
            <w:pPr>
              <w:keepNext w:val="0"/>
              <w:keepLines w:val="0"/>
              <w:pageBreakBefore w:val="0"/>
              <w:widowControl w:val="0"/>
              <w:kinsoku/>
              <w:wordWrap/>
              <w:overflowPunct/>
              <w:topLinePunct w:val="0"/>
              <w:bidi w:val="0"/>
              <w:snapToGrid/>
              <w:spacing w:line="360" w:lineRule="auto"/>
              <w:jc w:val="center"/>
              <w:rPr>
                <w:rFonts w:ascii="宋体" w:eastAsia="宋体" w:hAnsi="宋体" w:cs="宋体" w:hint="default"/>
                <w:b/>
                <w:bCs/>
                <w:sz w:val="21"/>
                <w:szCs w:val="21"/>
                <w:lang w:val="en-US" w:eastAsia="zh-CN"/>
              </w:rPr>
            </w:pPr>
            <w:r>
              <w:rPr>
                <w:rFonts w:ascii="宋体" w:hAnsi="宋体" w:cs="宋体" w:hint="eastAsia"/>
                <w:b/>
                <w:bCs/>
                <w:sz w:val="21"/>
                <w:szCs w:val="21"/>
                <w:lang w:val="en-US" w:eastAsia="zh-CN"/>
              </w:rPr>
              <w:t>固定费用</w:t>
            </w:r>
          </w:p>
        </w:tc>
        <w:tc>
          <w:tcPr>
            <w:tcW w:w="3881" w:type="dxa"/>
            <w:vAlign w:val="center"/>
          </w:tcPr>
          <w:p>
            <w:pPr>
              <w:keepNext w:val="0"/>
              <w:keepLines w:val="0"/>
              <w:pageBreakBefore w:val="0"/>
              <w:widowControl w:val="0"/>
              <w:kinsoku/>
              <w:wordWrap/>
              <w:overflowPunct/>
              <w:topLinePunct w:val="0"/>
              <w:bidi w:val="0"/>
              <w:snapToGrid/>
              <w:spacing w:line="360" w:lineRule="auto"/>
              <w:jc w:val="left"/>
              <w:rPr>
                <w:rFonts w:ascii="宋体" w:eastAsia="宋体" w:hAnsi="宋体" w:cs="宋体" w:hint="eastAsia"/>
                <w:sz w:val="21"/>
                <w:szCs w:val="21"/>
              </w:rPr>
            </w:pPr>
            <w:r>
              <w:rPr>
                <w:rFonts w:ascii="宋体" w:eastAsia="宋体" w:hAnsi="宋体" w:cs="宋体" w:hint="eastAsia"/>
                <w:sz w:val="21"/>
                <w:szCs w:val="21"/>
              </w:rPr>
              <w:t>含资料员，电工</w:t>
            </w:r>
            <w:r>
              <w:rPr>
                <w:rFonts w:ascii="宋体" w:hAnsi="宋体" w:cs="宋体" w:hint="eastAsia"/>
                <w:sz w:val="21"/>
                <w:szCs w:val="21"/>
                <w:lang w:eastAsia="zh-CN"/>
              </w:rPr>
              <w:t>、车辆费用</w:t>
            </w:r>
            <w:r>
              <w:rPr>
                <w:rFonts w:ascii="宋体" w:eastAsia="宋体" w:hAnsi="宋体" w:cs="宋体" w:hint="eastAsia"/>
                <w:sz w:val="21"/>
                <w:szCs w:val="21"/>
              </w:rPr>
              <w:t>等</w:t>
            </w:r>
          </w:p>
        </w:tc>
        <w:tc>
          <w:tcPr>
            <w:tcW w:w="1528" w:type="dxa"/>
            <w:vAlign w:val="center"/>
          </w:tcPr>
          <w:p>
            <w:pPr>
              <w:keepNext w:val="0"/>
              <w:keepLines w:val="0"/>
              <w:pageBreakBefore w:val="0"/>
              <w:widowControl w:val="0"/>
              <w:kinsoku/>
              <w:wordWrap/>
              <w:overflowPunct/>
              <w:topLinePunct w:val="0"/>
              <w:bidi w:val="0"/>
              <w:snapToGrid/>
              <w:spacing w:line="360" w:lineRule="auto"/>
              <w:jc w:val="center"/>
              <w:rPr>
                <w:rFonts w:ascii="宋体" w:eastAsia="宋体" w:hAnsi="宋体" w:cs="宋体" w:hint="eastAsia"/>
                <w:sz w:val="21"/>
                <w:szCs w:val="21"/>
              </w:rPr>
            </w:pPr>
            <w:r>
              <w:rPr>
                <w:rFonts w:ascii="宋体" w:hAnsi="宋体" w:cs="宋体" w:hint="eastAsia"/>
                <w:sz w:val="21"/>
                <w:szCs w:val="21"/>
                <w:lang w:val="en-US" w:eastAsia="zh-CN"/>
              </w:rPr>
              <w:t>8</w:t>
            </w:r>
            <w:r>
              <w:rPr>
                <w:rFonts w:ascii="宋体" w:eastAsia="宋体" w:hAnsi="宋体" w:cs="宋体" w:hint="eastAsia"/>
                <w:sz w:val="21"/>
                <w:szCs w:val="21"/>
              </w:rPr>
              <w:t>00</w:t>
            </w:r>
            <w:r>
              <w:rPr>
                <w:rFonts w:ascii="宋体" w:hAnsi="宋体" w:cs="宋体" w:hint="eastAsia"/>
                <w:sz w:val="21"/>
                <w:szCs w:val="21"/>
                <w:lang w:val="en-US" w:eastAsia="zh-CN"/>
              </w:rPr>
              <w:t>,</w:t>
            </w:r>
            <w:r>
              <w:rPr>
                <w:rFonts w:ascii="宋体" w:eastAsia="宋体" w:hAnsi="宋体" w:cs="宋体" w:hint="eastAsia"/>
                <w:sz w:val="21"/>
                <w:szCs w:val="21"/>
              </w:rPr>
              <w:t>000.00</w:t>
            </w:r>
          </w:p>
        </w:tc>
        <w:tc>
          <w:tcPr>
            <w:tcW w:w="1839" w:type="dxa"/>
            <w:vAlign w:val="center"/>
          </w:tcPr>
          <w:p>
            <w:pPr>
              <w:keepNext w:val="0"/>
              <w:keepLines w:val="0"/>
              <w:pageBreakBefore w:val="0"/>
              <w:widowControl w:val="0"/>
              <w:kinsoku/>
              <w:wordWrap/>
              <w:overflowPunct/>
              <w:topLinePunct w:val="0"/>
              <w:bidi w:val="0"/>
              <w:snapToGrid/>
              <w:spacing w:line="360" w:lineRule="auto"/>
              <w:jc w:val="center"/>
              <w:rPr>
                <w:rFonts w:ascii="宋体" w:eastAsia="宋体" w:hAnsi="宋体" w:cs="宋体" w:hint="eastAsia"/>
                <w:color w:val="C00000"/>
                <w:sz w:val="21"/>
                <w:szCs w:val="21"/>
              </w:rPr>
            </w:pPr>
            <w:r>
              <w:rPr>
                <w:rFonts w:ascii="宋体" w:eastAsia="宋体" w:hAnsi="宋体" w:cs="宋体" w:hint="eastAsia"/>
                <w:sz w:val="21"/>
                <w:szCs w:val="21"/>
              </w:rPr>
              <w:t>人员</w:t>
            </w:r>
            <w:r>
              <w:rPr>
                <w:rFonts w:ascii="宋体" w:hAnsi="宋体" w:cs="宋体" w:hint="eastAsia"/>
                <w:sz w:val="21"/>
                <w:szCs w:val="21"/>
                <w:lang w:eastAsia="zh-CN"/>
              </w:rPr>
              <w:t>、车辆</w:t>
            </w:r>
            <w:r>
              <w:rPr>
                <w:rFonts w:ascii="宋体" w:eastAsia="宋体" w:hAnsi="宋体" w:cs="宋体" w:hint="eastAsia"/>
                <w:sz w:val="21"/>
                <w:szCs w:val="21"/>
              </w:rPr>
              <w:t>要求详见“</w:t>
            </w:r>
            <w:r>
              <w:rPr>
                <w:rFonts w:ascii="宋体" w:hAnsi="宋体" w:cs="宋体" w:hint="eastAsia"/>
                <w:sz w:val="21"/>
                <w:szCs w:val="21"/>
                <w:lang w:val="en-US" w:eastAsia="zh-CN"/>
              </w:rPr>
              <w:t>四</w:t>
            </w:r>
            <w:r>
              <w:rPr>
                <w:rFonts w:ascii="宋体" w:eastAsia="宋体" w:hAnsi="宋体" w:cs="宋体" w:hint="eastAsia"/>
                <w:sz w:val="21"/>
                <w:szCs w:val="21"/>
              </w:rPr>
              <w:t>、项目服务要求”</w:t>
            </w:r>
          </w:p>
        </w:tc>
      </w:tr>
      <w:tr>
        <w:tblPrEx>
          <w:tblW w:w="9030" w:type="dxa"/>
          <w:jc w:val="center"/>
          <w:tblLayout w:type="fixed"/>
          <w:tblCellMar>
            <w:top w:w="0" w:type="dxa"/>
            <w:left w:w="108" w:type="dxa"/>
            <w:bottom w:w="0" w:type="dxa"/>
            <w:right w:w="108" w:type="dxa"/>
          </w:tblCellMar>
        </w:tblPrEx>
        <w:trPr>
          <w:trHeight w:hRule="exact" w:val="1821"/>
          <w:jc w:val="center"/>
        </w:trPr>
        <w:tc>
          <w:tcPr>
            <w:tcW w:w="687" w:type="dxa"/>
            <w:vAlign w:val="center"/>
          </w:tcPr>
          <w:p>
            <w:pPr>
              <w:keepNext w:val="0"/>
              <w:keepLines w:val="0"/>
              <w:pageBreakBefore w:val="0"/>
              <w:widowControl w:val="0"/>
              <w:kinsoku/>
              <w:wordWrap/>
              <w:overflowPunct/>
              <w:topLinePunct w:val="0"/>
              <w:bidi w:val="0"/>
              <w:snapToGrid/>
              <w:spacing w:line="360" w:lineRule="auto"/>
              <w:jc w:val="center"/>
              <w:rPr>
                <w:rFonts w:ascii="宋体" w:eastAsia="宋体" w:hAnsi="宋体" w:cs="宋体" w:hint="eastAsia"/>
                <w:sz w:val="21"/>
                <w:szCs w:val="21"/>
              </w:rPr>
            </w:pPr>
            <w:r>
              <w:rPr>
                <w:rFonts w:ascii="宋体" w:eastAsia="宋体" w:hAnsi="宋体" w:cs="宋体" w:hint="eastAsia"/>
                <w:sz w:val="21"/>
                <w:szCs w:val="21"/>
              </w:rPr>
              <w:t>2</w:t>
            </w:r>
          </w:p>
        </w:tc>
        <w:tc>
          <w:tcPr>
            <w:tcW w:w="1095" w:type="dxa"/>
            <w:vAlign w:val="center"/>
          </w:tcPr>
          <w:p>
            <w:pPr>
              <w:keepNext w:val="0"/>
              <w:keepLines w:val="0"/>
              <w:pageBreakBefore w:val="0"/>
              <w:widowControl w:val="0"/>
              <w:kinsoku/>
              <w:wordWrap/>
              <w:overflowPunct/>
              <w:topLinePunct w:val="0"/>
              <w:bidi w:val="0"/>
              <w:snapToGrid/>
              <w:spacing w:line="360" w:lineRule="auto"/>
              <w:jc w:val="center"/>
              <w:rPr>
                <w:rFonts w:ascii="宋体" w:eastAsia="宋体" w:hAnsi="宋体" w:cs="宋体" w:hint="eastAsia"/>
                <w:sz w:val="21"/>
                <w:szCs w:val="21"/>
              </w:rPr>
            </w:pPr>
            <w:r>
              <w:rPr>
                <w:rFonts w:ascii="宋体" w:eastAsia="宋体" w:hAnsi="宋体" w:cs="宋体" w:hint="eastAsia"/>
                <w:b/>
                <w:color w:val="000000"/>
                <w:sz w:val="21"/>
                <w:szCs w:val="21"/>
              </w:rPr>
              <w:t>维护费用</w:t>
            </w:r>
          </w:p>
        </w:tc>
        <w:tc>
          <w:tcPr>
            <w:tcW w:w="3881" w:type="dxa"/>
            <w:vAlign w:val="center"/>
          </w:tcPr>
          <w:p>
            <w:pPr>
              <w:keepNext w:val="0"/>
              <w:keepLines w:val="0"/>
              <w:pageBreakBefore w:val="0"/>
              <w:widowControl w:val="0"/>
              <w:kinsoku/>
              <w:wordWrap/>
              <w:overflowPunct/>
              <w:topLinePunct w:val="0"/>
              <w:bidi w:val="0"/>
              <w:snapToGrid/>
              <w:spacing w:line="360" w:lineRule="auto"/>
              <w:jc w:val="left"/>
              <w:rPr>
                <w:rFonts w:ascii="宋体" w:eastAsia="宋体" w:hAnsi="宋体" w:cs="宋体" w:hint="eastAsia"/>
                <w:sz w:val="21"/>
                <w:szCs w:val="21"/>
              </w:rPr>
            </w:pPr>
            <w:r>
              <w:rPr>
                <w:rFonts w:ascii="宋体" w:eastAsia="宋体" w:hAnsi="宋体" w:cs="宋体" w:hint="eastAsia"/>
                <w:szCs w:val="21"/>
              </w:rPr>
              <w:t>维护设施量按实际完成工作量结算</w:t>
            </w:r>
          </w:p>
        </w:tc>
        <w:tc>
          <w:tcPr>
            <w:tcW w:w="1528" w:type="dxa"/>
            <w:vAlign w:val="center"/>
          </w:tcPr>
          <w:p>
            <w:pPr>
              <w:keepNext w:val="0"/>
              <w:keepLines w:val="0"/>
              <w:pageBreakBefore w:val="0"/>
              <w:widowControl w:val="0"/>
              <w:kinsoku/>
              <w:wordWrap/>
              <w:overflowPunct/>
              <w:topLinePunct w:val="0"/>
              <w:bidi w:val="0"/>
              <w:snapToGrid/>
              <w:spacing w:line="360" w:lineRule="auto"/>
              <w:jc w:val="center"/>
              <w:rPr>
                <w:rFonts w:ascii="宋体" w:eastAsia="宋体" w:hAnsi="宋体" w:cs="宋体" w:hint="eastAsia"/>
                <w:sz w:val="21"/>
                <w:szCs w:val="21"/>
              </w:rPr>
            </w:pPr>
            <w:r>
              <w:rPr>
                <w:rFonts w:ascii="宋体" w:hAnsi="宋体" w:cs="宋体" w:hint="eastAsia"/>
                <w:sz w:val="21"/>
                <w:szCs w:val="21"/>
                <w:lang w:val="en-US" w:eastAsia="zh-CN"/>
              </w:rPr>
              <w:t>5,5</w:t>
            </w:r>
            <w:r>
              <w:rPr>
                <w:rFonts w:ascii="宋体" w:eastAsia="宋体" w:hAnsi="宋体" w:cs="宋体" w:hint="eastAsia"/>
                <w:sz w:val="21"/>
                <w:szCs w:val="21"/>
              </w:rPr>
              <w:t>00</w:t>
            </w:r>
            <w:r>
              <w:rPr>
                <w:rFonts w:ascii="宋体" w:hAnsi="宋体" w:cs="宋体" w:hint="eastAsia"/>
                <w:sz w:val="21"/>
                <w:szCs w:val="21"/>
                <w:lang w:val="en-US" w:eastAsia="zh-CN"/>
              </w:rPr>
              <w:t>,</w:t>
            </w:r>
            <w:r>
              <w:rPr>
                <w:rFonts w:ascii="宋体" w:eastAsia="宋体" w:hAnsi="宋体" w:cs="宋体" w:hint="eastAsia"/>
                <w:sz w:val="21"/>
                <w:szCs w:val="21"/>
              </w:rPr>
              <w:t>000.00</w:t>
            </w:r>
          </w:p>
        </w:tc>
        <w:tc>
          <w:tcPr>
            <w:tcW w:w="1839" w:type="dxa"/>
            <w:vAlign w:val="center"/>
          </w:tcPr>
          <w:p>
            <w:pPr>
              <w:keepNext w:val="0"/>
              <w:keepLines w:val="0"/>
              <w:pageBreakBefore w:val="0"/>
              <w:widowControl w:val="0"/>
              <w:kinsoku/>
              <w:wordWrap/>
              <w:overflowPunct/>
              <w:topLinePunct w:val="0"/>
              <w:bidi w:val="0"/>
              <w:snapToGrid/>
              <w:spacing w:line="360" w:lineRule="auto"/>
              <w:jc w:val="center"/>
              <w:rPr>
                <w:rFonts w:ascii="宋体" w:eastAsia="宋体" w:hAnsi="宋体" w:cs="宋体" w:hint="eastAsia"/>
                <w:color w:val="C00000"/>
                <w:sz w:val="21"/>
                <w:szCs w:val="21"/>
              </w:rPr>
            </w:pPr>
            <w:r>
              <w:rPr>
                <w:rFonts w:ascii="宋体" w:eastAsia="宋体" w:hAnsi="宋体" w:cs="宋体" w:hint="eastAsia"/>
                <w:color w:val="auto"/>
                <w:sz w:val="21"/>
                <w:szCs w:val="21"/>
              </w:rPr>
              <w:t>/</w:t>
            </w:r>
          </w:p>
        </w:tc>
      </w:tr>
      <w:tr>
        <w:tblPrEx>
          <w:tblW w:w="9030" w:type="dxa"/>
          <w:jc w:val="center"/>
          <w:tblLayout w:type="fixed"/>
          <w:tblCellMar>
            <w:top w:w="0" w:type="dxa"/>
            <w:left w:w="108" w:type="dxa"/>
            <w:bottom w:w="0" w:type="dxa"/>
            <w:right w:w="108" w:type="dxa"/>
          </w:tblCellMar>
        </w:tblPrEx>
        <w:trPr>
          <w:trHeight w:hRule="exact" w:val="572"/>
          <w:jc w:val="center"/>
        </w:trPr>
        <w:tc>
          <w:tcPr>
            <w:tcW w:w="5663" w:type="dxa"/>
            <w:gridSpan w:val="3"/>
            <w:vAlign w:val="center"/>
          </w:tcPr>
          <w:p>
            <w:pPr>
              <w:keepNext w:val="0"/>
              <w:keepLines w:val="0"/>
              <w:pageBreakBefore w:val="0"/>
              <w:widowControl w:val="0"/>
              <w:kinsoku/>
              <w:wordWrap/>
              <w:overflowPunct/>
              <w:topLinePunct w:val="0"/>
              <w:bidi w:val="0"/>
              <w:snapToGrid/>
              <w:spacing w:line="360" w:lineRule="auto"/>
              <w:jc w:val="center"/>
              <w:rPr>
                <w:rFonts w:ascii="宋体" w:eastAsia="宋体" w:hAnsi="宋体" w:cs="宋体" w:hint="eastAsia"/>
                <w:color w:val="000000"/>
                <w:sz w:val="21"/>
                <w:szCs w:val="21"/>
              </w:rPr>
            </w:pPr>
            <w:r>
              <w:rPr>
                <w:rFonts w:ascii="宋体" w:eastAsia="宋体" w:hAnsi="宋体" w:cs="宋体" w:hint="eastAsia"/>
                <w:b/>
                <w:bCs/>
                <w:color w:val="000000"/>
                <w:sz w:val="21"/>
                <w:szCs w:val="21"/>
              </w:rPr>
              <w:t>合计</w:t>
            </w:r>
            <w:r>
              <w:rPr>
                <w:rFonts w:ascii="宋体" w:eastAsia="宋体" w:hAnsi="宋体" w:cs="宋体" w:hint="eastAsia"/>
                <w:b/>
                <w:bCs/>
                <w:sz w:val="21"/>
                <w:szCs w:val="21"/>
              </w:rPr>
              <w:t>（元）</w:t>
            </w:r>
          </w:p>
        </w:tc>
        <w:tc>
          <w:tcPr>
            <w:tcW w:w="1528" w:type="dxa"/>
            <w:vAlign w:val="center"/>
          </w:tcPr>
          <w:p>
            <w:pPr>
              <w:keepNext w:val="0"/>
              <w:keepLines w:val="0"/>
              <w:pageBreakBefore w:val="0"/>
              <w:widowControl w:val="0"/>
              <w:kinsoku/>
              <w:wordWrap/>
              <w:overflowPunct/>
              <w:topLinePunct w:val="0"/>
              <w:bidi w:val="0"/>
              <w:snapToGrid/>
              <w:spacing w:line="360" w:lineRule="auto"/>
              <w:jc w:val="center"/>
              <w:rPr>
                <w:rFonts w:ascii="宋体" w:eastAsia="宋体" w:hAnsi="宋体" w:cs="宋体" w:hint="eastAsia"/>
                <w:sz w:val="21"/>
                <w:szCs w:val="21"/>
              </w:rPr>
            </w:pPr>
            <w:r>
              <w:rPr>
                <w:rFonts w:ascii="宋体" w:eastAsia="宋体" w:hAnsi="宋体" w:cs="宋体" w:hint="eastAsia"/>
                <w:sz w:val="21"/>
                <w:szCs w:val="21"/>
              </w:rPr>
              <w:t>6</w:t>
            </w:r>
            <w:r>
              <w:rPr>
                <w:rFonts w:ascii="宋体" w:hAnsi="宋体" w:cs="宋体" w:hint="eastAsia"/>
                <w:sz w:val="21"/>
                <w:szCs w:val="21"/>
                <w:lang w:val="en-US" w:eastAsia="zh-CN"/>
              </w:rPr>
              <w:t>,</w:t>
            </w:r>
            <w:r>
              <w:rPr>
                <w:rFonts w:ascii="宋体" w:eastAsia="宋体" w:hAnsi="宋体" w:cs="宋体" w:hint="eastAsia"/>
                <w:sz w:val="21"/>
                <w:szCs w:val="21"/>
              </w:rPr>
              <w:t>300</w:t>
            </w:r>
            <w:r>
              <w:rPr>
                <w:rFonts w:ascii="宋体" w:hAnsi="宋体" w:cs="宋体" w:hint="eastAsia"/>
                <w:sz w:val="21"/>
                <w:szCs w:val="21"/>
                <w:lang w:val="en-US" w:eastAsia="zh-CN"/>
              </w:rPr>
              <w:t>,</w:t>
            </w:r>
            <w:r>
              <w:rPr>
                <w:rFonts w:ascii="宋体" w:eastAsia="宋体" w:hAnsi="宋体" w:cs="宋体" w:hint="eastAsia"/>
                <w:sz w:val="21"/>
                <w:szCs w:val="21"/>
              </w:rPr>
              <w:t>000.00</w:t>
            </w:r>
          </w:p>
        </w:tc>
        <w:tc>
          <w:tcPr>
            <w:tcW w:w="1839" w:type="dxa"/>
            <w:vAlign w:val="center"/>
          </w:tcPr>
          <w:p>
            <w:pPr>
              <w:keepNext w:val="0"/>
              <w:keepLines w:val="0"/>
              <w:pageBreakBefore w:val="0"/>
              <w:widowControl w:val="0"/>
              <w:kinsoku/>
              <w:wordWrap/>
              <w:overflowPunct/>
              <w:topLinePunct w:val="0"/>
              <w:bidi w:val="0"/>
              <w:snapToGrid/>
              <w:spacing w:line="360" w:lineRule="auto"/>
              <w:jc w:val="center"/>
              <w:rPr>
                <w:rFonts w:ascii="宋体" w:eastAsia="宋体" w:hAnsi="宋体" w:cs="宋体" w:hint="eastAsia"/>
                <w:sz w:val="21"/>
                <w:szCs w:val="21"/>
              </w:rPr>
            </w:pPr>
            <w:r>
              <w:rPr>
                <w:rFonts w:ascii="宋体" w:eastAsia="宋体" w:hAnsi="宋体" w:cs="宋体" w:hint="eastAsia"/>
                <w:sz w:val="21"/>
                <w:szCs w:val="21"/>
              </w:rPr>
              <w:t>/</w:t>
            </w:r>
          </w:p>
        </w:tc>
      </w:tr>
    </w:tbl>
    <w:p>
      <w:pPr>
        <w:pStyle w:val="NormalIndent"/>
        <w:keepNext w:val="0"/>
        <w:keepLines w:val="0"/>
        <w:pageBreakBefore w:val="0"/>
        <w:widowControl w:val="0"/>
        <w:kinsoku/>
        <w:wordWrap/>
        <w:overflowPunct/>
        <w:topLinePunct w:val="0"/>
        <w:bidi w:val="0"/>
        <w:snapToGrid/>
        <w:spacing w:line="360" w:lineRule="auto"/>
        <w:ind w:firstLine="393" w:firstLineChars="187"/>
        <w:rPr>
          <w:rFonts w:ascii="宋体" w:eastAsia="宋体" w:hAnsi="宋体" w:cs="宋体" w:hint="eastAsia"/>
          <w:color w:val="000000"/>
          <w:sz w:val="21"/>
          <w:szCs w:val="21"/>
          <w:highlight w:val="none"/>
          <w:lang w:val="en-US" w:eastAsia="zh-CN"/>
        </w:rPr>
      </w:pPr>
      <w:r>
        <w:rPr>
          <w:rFonts w:ascii="宋体" w:eastAsia="宋体" w:hAnsi="宋体" w:cs="宋体" w:hint="eastAsia"/>
          <w:b/>
          <w:bCs/>
          <w:color w:val="000000"/>
          <w:szCs w:val="21"/>
          <w:highlight w:val="yellow"/>
        </w:rPr>
        <w:t>★</w:t>
      </w:r>
      <w:r>
        <w:rPr>
          <w:rFonts w:ascii="宋体" w:eastAsia="宋体" w:hAnsi="宋体" w:cs="宋体" w:hint="eastAsia"/>
          <w:b/>
          <w:bCs/>
          <w:color w:val="000000"/>
          <w:sz w:val="21"/>
          <w:szCs w:val="21"/>
          <w:highlight w:val="yellow"/>
          <w:lang w:val="en-US" w:eastAsia="zh-CN"/>
        </w:rPr>
        <w:t>注：任意一项费用的投标报价超过其最高限价的，将导致投标无效。</w:t>
      </w:r>
    </w:p>
    <w:p>
      <w:pPr>
        <w:pStyle w:val="NormalIndent"/>
        <w:keepNext w:val="0"/>
        <w:keepLines w:val="0"/>
        <w:pageBreakBefore w:val="0"/>
        <w:widowControl w:val="0"/>
        <w:kinsoku/>
        <w:wordWrap/>
        <w:overflowPunct/>
        <w:topLinePunct w:val="0"/>
        <w:bidi w:val="0"/>
        <w:snapToGrid/>
        <w:spacing w:line="360" w:lineRule="auto"/>
        <w:ind w:firstLine="393" w:firstLineChars="187"/>
        <w:rPr>
          <w:rFonts w:ascii="宋体" w:eastAsia="宋体" w:hAnsi="宋体" w:cs="宋体" w:hint="eastAsia"/>
          <w:color w:val="000000"/>
          <w:sz w:val="21"/>
          <w:szCs w:val="21"/>
        </w:rPr>
      </w:pPr>
      <w:r>
        <w:rPr>
          <w:rFonts w:ascii="宋体" w:eastAsia="宋体" w:hAnsi="宋体" w:cs="宋体" w:hint="eastAsia"/>
          <w:color w:val="000000"/>
          <w:sz w:val="21"/>
          <w:szCs w:val="21"/>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NormalIndent"/>
        <w:keepNext w:val="0"/>
        <w:keepLines w:val="0"/>
        <w:pageBreakBefore w:val="0"/>
        <w:widowControl w:val="0"/>
        <w:kinsoku/>
        <w:wordWrap/>
        <w:overflowPunct/>
        <w:topLinePunct w:val="0"/>
        <w:bidi w:val="0"/>
        <w:snapToGrid/>
        <w:spacing w:line="360" w:lineRule="auto"/>
        <w:ind w:firstLine="393" w:firstLineChars="187"/>
        <w:rPr>
          <w:rFonts w:ascii="宋体" w:eastAsia="宋体" w:hAnsi="宋体" w:cs="宋体" w:hint="eastAsia"/>
          <w:color w:val="000000"/>
          <w:sz w:val="21"/>
          <w:szCs w:val="21"/>
        </w:rPr>
      </w:pPr>
      <w:r>
        <w:rPr>
          <w:rFonts w:ascii="宋体" w:eastAsia="宋体" w:hAnsi="宋体" w:cs="宋体" w:hint="eastAsia"/>
          <w:color w:val="000000"/>
          <w:sz w:val="21"/>
          <w:szCs w:val="21"/>
        </w:rPr>
        <w:t>3.投标人的投标报价不得超过财政预算限额。</w:t>
      </w:r>
    </w:p>
    <w:p>
      <w:pPr>
        <w:pStyle w:val="NormalIndent"/>
        <w:keepNext w:val="0"/>
        <w:keepLines w:val="0"/>
        <w:pageBreakBefore w:val="0"/>
        <w:widowControl w:val="0"/>
        <w:kinsoku/>
        <w:wordWrap/>
        <w:overflowPunct/>
        <w:topLinePunct w:val="0"/>
        <w:bidi w:val="0"/>
        <w:snapToGrid/>
        <w:spacing w:line="360" w:lineRule="auto"/>
        <w:ind w:firstLine="393" w:firstLineChars="187"/>
        <w:rPr>
          <w:rFonts w:ascii="宋体" w:eastAsia="宋体" w:hAnsi="宋体" w:cs="宋体" w:hint="eastAsia"/>
          <w:color w:val="000000"/>
          <w:sz w:val="21"/>
          <w:szCs w:val="21"/>
        </w:rPr>
      </w:pPr>
      <w:r>
        <w:rPr>
          <w:rFonts w:ascii="宋体" w:eastAsia="宋体" w:hAnsi="宋体" w:cs="宋体" w:hint="eastAsia"/>
          <w:color w:val="000000"/>
          <w:sz w:val="21"/>
          <w:szCs w:val="21"/>
        </w:rPr>
        <w:t>4.投标人的投标报价，应是本项目招标范围和招标文件及合同条款上所列的各项内容中所述的全部，不得以任何理由予以重复，并以投标人在投标文件中提出的综合单价或总价为依据。</w:t>
      </w:r>
    </w:p>
    <w:p>
      <w:pPr>
        <w:pStyle w:val="NormalIndent"/>
        <w:keepNext w:val="0"/>
        <w:keepLines w:val="0"/>
        <w:pageBreakBefore w:val="0"/>
        <w:widowControl w:val="0"/>
        <w:kinsoku/>
        <w:wordWrap/>
        <w:overflowPunct/>
        <w:topLinePunct w:val="0"/>
        <w:bidi w:val="0"/>
        <w:snapToGrid/>
        <w:spacing w:line="360" w:lineRule="auto"/>
        <w:ind w:firstLine="393" w:firstLineChars="187"/>
        <w:rPr>
          <w:rFonts w:ascii="宋体" w:eastAsia="宋体" w:hAnsi="宋体" w:cs="宋体" w:hint="eastAsia"/>
          <w:color w:val="000000"/>
          <w:sz w:val="21"/>
          <w:szCs w:val="21"/>
        </w:rPr>
      </w:pPr>
      <w:r>
        <w:rPr>
          <w:rFonts w:ascii="宋体" w:eastAsia="宋体" w:hAnsi="宋体" w:cs="宋体" w:hint="eastAsia"/>
          <w:color w:val="000000"/>
          <w:sz w:val="21"/>
          <w:szCs w:val="21"/>
          <w:lang w:val="en-US" w:eastAsia="zh-CN"/>
        </w:rPr>
        <w:t>5</w:t>
      </w:r>
      <w:r>
        <w:rPr>
          <w:rFonts w:ascii="宋体" w:eastAsia="宋体" w:hAnsi="宋体" w:cs="宋体" w:hint="eastAsia"/>
          <w:color w:val="000000"/>
          <w:sz w:val="21"/>
          <w:szCs w:val="21"/>
        </w:rPr>
        <w:t>.除非采购代理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pPr>
        <w:pStyle w:val="NormalIndent"/>
        <w:keepNext w:val="0"/>
        <w:keepLines w:val="0"/>
        <w:pageBreakBefore w:val="0"/>
        <w:widowControl w:val="0"/>
        <w:kinsoku/>
        <w:wordWrap/>
        <w:overflowPunct/>
        <w:topLinePunct w:val="0"/>
        <w:bidi w:val="0"/>
        <w:snapToGrid/>
        <w:spacing w:line="360" w:lineRule="auto"/>
        <w:ind w:firstLine="393" w:firstLineChars="187"/>
        <w:rPr>
          <w:rFonts w:ascii="宋体" w:eastAsia="宋体" w:hAnsi="宋体" w:cs="宋体" w:hint="eastAsia"/>
          <w:color w:val="000000"/>
          <w:sz w:val="21"/>
          <w:szCs w:val="21"/>
        </w:rPr>
      </w:pPr>
      <w:r>
        <w:rPr>
          <w:rFonts w:ascii="宋体" w:eastAsia="宋体" w:hAnsi="宋体" w:cs="宋体" w:hint="eastAsia"/>
          <w:color w:val="000000"/>
          <w:sz w:val="21"/>
          <w:szCs w:val="21"/>
        </w:rPr>
        <w:t>7.投标人应充分了解项目的位置、情况、道路及任何其它足以影响投标报价的情况，任何因忽视或误解项目情况而导致的索赔或服务期限延长申请将不获批准。</w:t>
      </w:r>
    </w:p>
    <w:p>
      <w:pPr>
        <w:pStyle w:val="NormalIndent"/>
        <w:keepNext w:val="0"/>
        <w:keepLines w:val="0"/>
        <w:pageBreakBefore w:val="0"/>
        <w:widowControl w:val="0"/>
        <w:kinsoku/>
        <w:wordWrap/>
        <w:overflowPunct/>
        <w:topLinePunct w:val="0"/>
        <w:bidi w:val="0"/>
        <w:snapToGrid/>
        <w:spacing w:line="360" w:lineRule="auto"/>
        <w:ind w:firstLine="393" w:firstLineChars="187"/>
        <w:rPr>
          <w:rFonts w:ascii="宋体" w:eastAsia="宋体" w:hAnsi="宋体" w:cs="宋体" w:hint="eastAsia"/>
          <w:color w:val="000000"/>
          <w:sz w:val="21"/>
          <w:szCs w:val="21"/>
        </w:rPr>
      </w:pPr>
      <w:r>
        <w:rPr>
          <w:rFonts w:ascii="宋体" w:eastAsia="宋体" w:hAnsi="宋体" w:cs="宋体" w:hint="eastAsia"/>
          <w:color w:val="000000"/>
          <w:sz w:val="21"/>
          <w:szCs w:val="21"/>
        </w:rPr>
        <w:t>8.投标人不得期望通过索赔等方式获取补偿，否则，除可能遭到拒绝外，还可能将被作为不良行为记录在案，并可能影响其以后参加政府采购的项目投标。各投标人在投标报价时，应充分考虑投标报价的风险。</w:t>
      </w:r>
    </w:p>
    <w:p>
      <w:pPr>
        <w:rPr>
          <w:rFonts w:ascii="宋体" w:eastAsia="宋体" w:hAnsi="宋体" w:cs="宋体" w:hint="eastAsia"/>
          <w:b/>
          <w:szCs w:val="21"/>
        </w:rPr>
      </w:pPr>
      <w:r>
        <w:rPr>
          <w:rFonts w:ascii="宋体" w:eastAsia="宋体" w:hAnsi="宋体" w:cs="宋体" w:hint="eastAsia"/>
          <w:b/>
          <w:szCs w:val="21"/>
        </w:rPr>
        <w:br w:type="page"/>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eastAsia="宋体" w:hAnsi="宋体" w:cs="宋体" w:hint="eastAsia"/>
          <w:b/>
          <w:szCs w:val="21"/>
        </w:rPr>
      </w:pPr>
      <w:r>
        <w:rPr>
          <w:rFonts w:ascii="宋体" w:eastAsia="宋体" w:hAnsi="宋体" w:cs="宋体" w:hint="eastAsia"/>
          <w:b/>
          <w:szCs w:val="21"/>
        </w:rPr>
        <w:t>（四）维护费用计算及考核检查评分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1"/>
        <w:rPr>
          <w:rFonts w:ascii="宋体" w:eastAsia="宋体" w:hAnsi="宋体" w:cs="宋体" w:hint="eastAsia"/>
          <w:szCs w:val="21"/>
        </w:rPr>
      </w:pPr>
      <w:r>
        <w:rPr>
          <w:rFonts w:ascii="宋体" w:eastAsia="宋体" w:hAnsi="宋体" w:cs="宋体" w:hint="eastAsia"/>
          <w:szCs w:val="21"/>
        </w:rPr>
        <w:t>采购人组成考核小组，采取定期及不定期的检查考核，即日常巡检考查与每月一次的集中考核相结合,采购人以每月为一周期进行考查、考核并汇总，按考查考核结果执行付款。</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1"/>
        <w:rPr>
          <w:rFonts w:ascii="宋体" w:eastAsia="宋体" w:hAnsi="宋体" w:cs="宋体" w:hint="eastAsia"/>
          <w:szCs w:val="21"/>
        </w:rPr>
      </w:pPr>
      <w:r>
        <w:rPr>
          <w:rFonts w:ascii="宋体" w:eastAsia="宋体" w:hAnsi="宋体" w:cs="宋体" w:hint="eastAsia"/>
          <w:szCs w:val="21"/>
        </w:rPr>
        <w:t>1、考核扣分、扣款按表1内容执行，相关内容采购人可依据项目执行过程的实际情况进行必要的修改。项目执行情况考核由采购人五个管理所分别执行考核，各管理所的考核</w:t>
      </w:r>
      <w:r>
        <w:rPr>
          <w:rFonts w:ascii="宋体" w:eastAsia="宋体" w:hAnsi="宋体" w:cs="宋体" w:hint="eastAsia"/>
          <w:szCs w:val="21"/>
          <w:lang w:val="en-US" w:eastAsia="zh-CN"/>
        </w:rPr>
        <w:t>得分平均分</w:t>
      </w:r>
      <w:r>
        <w:rPr>
          <w:rFonts w:ascii="宋体" w:eastAsia="宋体" w:hAnsi="宋体" w:cs="宋体" w:hint="eastAsia"/>
          <w:szCs w:val="21"/>
        </w:rPr>
        <w:t>为本项目的考核</w:t>
      </w:r>
      <w:r>
        <w:rPr>
          <w:rFonts w:ascii="宋体" w:eastAsia="宋体" w:hAnsi="宋体" w:cs="宋体" w:hint="eastAsia"/>
          <w:szCs w:val="21"/>
          <w:lang w:val="en-US" w:eastAsia="zh-CN"/>
        </w:rPr>
        <w:t>得分</w:t>
      </w:r>
      <w:r>
        <w:rPr>
          <w:rFonts w:ascii="宋体" w:eastAsia="宋体" w:hAnsi="宋体" w:cs="宋体" w:hint="eastAsia"/>
          <w:szCs w:val="21"/>
        </w:rPr>
        <w:t>，考核得分为100分减去总的扣分。考核得分作为项目执行情况处罚依据。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1"/>
        <w:rPr>
          <w:rFonts w:ascii="宋体" w:eastAsia="宋体" w:hAnsi="宋体" w:cs="宋体" w:hint="eastAsia"/>
          <w:szCs w:val="21"/>
        </w:rPr>
      </w:pPr>
      <w:r>
        <w:rPr>
          <w:rFonts w:ascii="宋体" w:eastAsia="宋体" w:hAnsi="宋体" w:cs="宋体" w:hint="eastAsia"/>
          <w:szCs w:val="21"/>
        </w:rPr>
        <w:t>2、考核经济处罚按按表1内容执行扣款，相关内容采购人可依据项目执行过程的实际情况进行必要的修改。采购人5个管理所根据表1分别进行考核，分别按表中内容考核扣款，各管理所的扣款相加为本项目该月的考核经济处罚总金额。</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outlineLvl w:val="1"/>
        <w:rPr>
          <w:rFonts w:ascii="宋体" w:eastAsia="宋体" w:hAnsi="宋体" w:cs="宋体" w:hint="eastAsia"/>
          <w:sz w:val="21"/>
          <w:szCs w:val="21"/>
        </w:rPr>
      </w:pPr>
      <w:r>
        <w:rPr>
          <w:rFonts w:ascii="宋体" w:eastAsia="宋体" w:hAnsi="宋体" w:cs="宋体" w:hint="eastAsia"/>
          <w:sz w:val="21"/>
          <w:szCs w:val="21"/>
        </w:rPr>
        <w:t>3、考核得分低于85分（不含）为不合格。连续两个月或累计三次考核得分低于85分（不含），采购人将不再进行合同续签，经济损失和法律责任由该单位承担。</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ascii="宋体" w:eastAsia="宋体" w:hAnsi="宋体" w:cs="宋体" w:hint="eastAsia"/>
          <w:szCs w:val="21"/>
        </w:rPr>
      </w:pPr>
      <w:r>
        <w:rPr>
          <w:rFonts w:ascii="宋体" w:eastAsia="宋体" w:hAnsi="宋体" w:cs="宋体" w:hint="eastAsia"/>
          <w:szCs w:val="21"/>
        </w:rPr>
        <w:t>4、由采购人依据考核扣分、项目考核得分处罚、项目经济处罚情况按汇总得到维护费扣款情况。</w:t>
      </w:r>
    </w:p>
    <w:p>
      <w:pPr>
        <w:keepNext w:val="0"/>
        <w:keepLines w:val="0"/>
        <w:pageBreakBefore w:val="0"/>
        <w:widowControl w:val="0"/>
        <w:kinsoku/>
        <w:wordWrap/>
        <w:overflowPunct/>
        <w:topLinePunct w:val="0"/>
        <w:bidi w:val="0"/>
        <w:snapToGrid/>
        <w:spacing w:line="360" w:lineRule="auto"/>
        <w:rPr>
          <w:rFonts w:ascii="宋体" w:eastAsia="宋体" w:hAnsi="宋体" w:cs="宋体" w:hint="eastAsia"/>
          <w:b/>
          <w:szCs w:val="21"/>
        </w:rPr>
      </w:pPr>
      <w:r>
        <w:rPr>
          <w:rFonts w:ascii="宋体" w:eastAsia="宋体" w:hAnsi="宋体" w:cs="宋体" w:hint="eastAsia"/>
          <w:b/>
          <w:szCs w:val="21"/>
        </w:rPr>
        <w:t>表1：高压维护考核扣分、扣款表</w:t>
      </w:r>
    </w:p>
    <w:tbl>
      <w:tblPr>
        <w:tblStyle w:val="TableNormal"/>
        <w:tblW w:w="8860"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0" w:type="dxa"/>
          <w:bottom w:w="0" w:type="dxa"/>
          <w:right w:w="0" w:type="dxa"/>
        </w:tblCellMar>
      </w:tblPr>
      <w:tblGrid>
        <w:gridCol w:w="400"/>
        <w:gridCol w:w="640"/>
        <w:gridCol w:w="820"/>
        <w:gridCol w:w="1062"/>
        <w:gridCol w:w="3855"/>
        <w:gridCol w:w="694"/>
        <w:gridCol w:w="694"/>
        <w:gridCol w:w="695"/>
      </w:tblGrid>
      <w:tr>
        <w:tblPrEx>
          <w:tblW w:w="8860"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0" w:type="dxa"/>
            <w:bottom w:w="0" w:type="dxa"/>
            <w:right w:w="0" w:type="dxa"/>
          </w:tblCellMar>
        </w:tblPrEx>
        <w:trPr>
          <w:trHeight w:val="283"/>
        </w:trPr>
        <w:tc>
          <w:tcPr>
            <w:tcW w:w="8860" w:type="dxa"/>
            <w:gridSpan w:val="8"/>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b/>
                <w:szCs w:val="21"/>
              </w:rPr>
            </w:pPr>
            <w:r>
              <w:rPr>
                <w:rFonts w:ascii="宋体" w:eastAsia="宋体" w:hAnsi="宋体" w:cs="宋体" w:hint="eastAsia"/>
                <w:b/>
                <w:kern w:val="0"/>
                <w:szCs w:val="21"/>
              </w:rPr>
              <w:t>一、日常考核</w:t>
            </w:r>
          </w:p>
        </w:tc>
      </w:tr>
      <w:tr>
        <w:tblPrEx>
          <w:tblW w:w="8860" w:type="dxa"/>
          <w:tblInd w:w="0" w:type="dxa"/>
          <w:tblLayout w:type="fixed"/>
          <w:tblCellMar>
            <w:top w:w="0" w:type="dxa"/>
            <w:left w:w="0" w:type="dxa"/>
            <w:bottom w:w="0" w:type="dxa"/>
            <w:right w:w="0" w:type="dxa"/>
          </w:tblCellMar>
        </w:tblPrEx>
        <w:trPr>
          <w:trHeight w:val="283"/>
        </w:trPr>
        <w:tc>
          <w:tcPr>
            <w:tcW w:w="8860" w:type="dxa"/>
            <w:gridSpan w:val="8"/>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管理所、管理部门日常维护（抢修）检查、巡查发现问题执行的扣分和扣款项，在发现问题后考核人做好记录、确认，以每月为一周期与每月的集中考核汇总执行。</w:t>
            </w:r>
          </w:p>
        </w:tc>
      </w:tr>
      <w:tr>
        <w:tblPrEx>
          <w:tblW w:w="8860" w:type="dxa"/>
          <w:tblInd w:w="0" w:type="dxa"/>
          <w:tblLayout w:type="fixed"/>
          <w:tblCellMar>
            <w:top w:w="0" w:type="dxa"/>
            <w:left w:w="0" w:type="dxa"/>
            <w:bottom w:w="0" w:type="dxa"/>
            <w:right w:w="0" w:type="dxa"/>
          </w:tblCellMar>
        </w:tblPrEx>
        <w:trPr>
          <w:trHeight w:val="283"/>
        </w:trPr>
        <w:tc>
          <w:tcPr>
            <w:tcW w:w="4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序号</w:t>
            </w:r>
          </w:p>
        </w:tc>
        <w:tc>
          <w:tcPr>
            <w:tcW w:w="6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考核项目</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考核标准</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扣分标准</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扣分</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扣款</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备注</w:t>
            </w:r>
          </w:p>
        </w:tc>
      </w:tr>
      <w:tr>
        <w:tblPrEx>
          <w:tblW w:w="8860" w:type="dxa"/>
          <w:tblInd w:w="0" w:type="dxa"/>
          <w:tblLayout w:type="fixed"/>
          <w:tblCellMar>
            <w:top w:w="0" w:type="dxa"/>
            <w:left w:w="0" w:type="dxa"/>
            <w:bottom w:w="0" w:type="dxa"/>
            <w:right w:w="0" w:type="dxa"/>
          </w:tblCellMar>
        </w:tblPrEx>
        <w:trPr>
          <w:trHeight w:val="283"/>
        </w:trPr>
        <w:tc>
          <w:tcPr>
            <w:tcW w:w="40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1</w:t>
            </w:r>
          </w:p>
        </w:tc>
        <w:tc>
          <w:tcPr>
            <w:tcW w:w="64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r>
              <w:rPr>
                <w:rFonts w:ascii="宋体" w:eastAsia="宋体" w:hAnsi="宋体" w:cs="宋体" w:hint="eastAsia"/>
                <w:b/>
                <w:kern w:val="0"/>
                <w:szCs w:val="21"/>
              </w:rPr>
              <w:t>人员安排</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人员到位情况</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按安排在本项目的人员到位情况考核，与招标要求符合，若有缺少人次，每人每次人扣0.5分，</w:t>
            </w:r>
            <w:r>
              <w:rPr>
                <w:rFonts w:ascii="宋体" w:eastAsia="宋体" w:hAnsi="宋体" w:cs="宋体" w:hint="eastAsia"/>
                <w:b/>
                <w:bCs/>
                <w:kern w:val="0"/>
                <w:szCs w:val="21"/>
              </w:rPr>
              <w:t>扣款500元</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15"/>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r>
              <w:rPr>
                <w:rFonts w:ascii="宋体" w:eastAsia="宋体" w:hAnsi="宋体" w:cs="宋体" w:hint="eastAsia"/>
                <w:kern w:val="0"/>
                <w:szCs w:val="21"/>
              </w:rPr>
              <w:t>值班制度</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r>
              <w:rPr>
                <w:rFonts w:ascii="宋体" w:eastAsia="宋体" w:hAnsi="宋体" w:cs="宋体" w:hint="eastAsia"/>
                <w:kern w:val="0"/>
                <w:szCs w:val="21"/>
              </w:rPr>
              <w:t>建立24小时值班制度，保证在正常上班时段外，值班人员在岗，工作人员通信畅通。值班人员不在岗或工作人员通信不畅通，每次扣0.5分，</w:t>
            </w:r>
            <w:r>
              <w:rPr>
                <w:rFonts w:ascii="宋体" w:eastAsia="宋体" w:hAnsi="宋体" w:cs="宋体" w:hint="eastAsia"/>
                <w:b/>
                <w:bCs/>
                <w:kern w:val="0"/>
                <w:szCs w:val="21"/>
              </w:rPr>
              <w:t>扣款500元</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kern w:val="0"/>
                <w:szCs w:val="21"/>
              </w:rPr>
            </w:pPr>
          </w:p>
        </w:tc>
      </w:tr>
      <w:tr>
        <w:tblPrEx>
          <w:tblW w:w="8860" w:type="dxa"/>
          <w:tblInd w:w="0" w:type="dxa"/>
          <w:tblLayout w:type="fixed"/>
          <w:tblCellMar>
            <w:top w:w="0" w:type="dxa"/>
            <w:left w:w="0" w:type="dxa"/>
            <w:bottom w:w="0" w:type="dxa"/>
            <w:right w:w="0" w:type="dxa"/>
          </w:tblCellMar>
        </w:tblPrEx>
        <w:trPr>
          <w:trHeight w:val="283"/>
        </w:trPr>
        <w:tc>
          <w:tcPr>
            <w:tcW w:w="40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2</w:t>
            </w:r>
          </w:p>
        </w:tc>
        <w:tc>
          <w:tcPr>
            <w:tcW w:w="64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r>
              <w:rPr>
                <w:rFonts w:ascii="宋体" w:eastAsia="宋体" w:hAnsi="宋体" w:cs="宋体" w:hint="eastAsia"/>
                <w:b/>
                <w:kern w:val="0"/>
                <w:szCs w:val="21"/>
              </w:rPr>
              <w:t>车辆、设备、材料情况</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巡查、施工车辆</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保证按合同的要求维护巡查车辆、配置施工用车，施工用车需按抢修工程车的安全标准配置。车辆不足或维护不到位的，每台扣0.5分，</w:t>
            </w:r>
            <w:r>
              <w:rPr>
                <w:rFonts w:ascii="宋体" w:eastAsia="宋体" w:hAnsi="宋体" w:cs="宋体" w:hint="eastAsia"/>
                <w:b/>
                <w:kern w:val="0"/>
                <w:szCs w:val="21"/>
                <w:u w:val="single"/>
              </w:rPr>
              <w:t>扣5000元</w:t>
            </w:r>
            <w:r>
              <w:rPr>
                <w:rFonts w:ascii="宋体" w:eastAsia="宋体" w:hAnsi="宋体" w:cs="宋体" w:hint="eastAsia"/>
                <w:kern w:val="0"/>
                <w:szCs w:val="21"/>
              </w:rPr>
              <w:t>。（检查发现情况后10个工作日内纠正，如未纠正，继续执行扣分、扣款，并以累加。）</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维修设备</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保证按合同的要求配备维修设备数量且设备完好。每缺少1台（套）扣0.2分，</w:t>
            </w:r>
            <w:r>
              <w:rPr>
                <w:rFonts w:ascii="宋体" w:eastAsia="宋体" w:hAnsi="宋体" w:cs="宋体" w:hint="eastAsia"/>
                <w:b/>
                <w:kern w:val="0"/>
                <w:szCs w:val="21"/>
                <w:u w:val="single"/>
              </w:rPr>
              <w:t>扣1000元</w:t>
            </w:r>
            <w:r>
              <w:rPr>
                <w:rFonts w:ascii="宋体" w:eastAsia="宋体" w:hAnsi="宋体" w:cs="宋体" w:hint="eastAsia"/>
                <w:kern w:val="0"/>
                <w:szCs w:val="21"/>
              </w:rPr>
              <w:t>。（检查发现设备不足后再10个工作日内补足，如未补足，继续执行扣分、扣款，并以累加。）</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r>
              <w:rPr>
                <w:rFonts w:ascii="宋体" w:eastAsia="宋体" w:hAnsi="宋体" w:cs="宋体" w:hint="eastAsia"/>
                <w:kern w:val="0"/>
                <w:szCs w:val="21"/>
              </w:rPr>
              <w:t>维护材料品牌及库存</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r>
              <w:rPr>
                <w:rFonts w:ascii="宋体" w:eastAsia="宋体" w:hAnsi="宋体" w:cs="宋体" w:hint="eastAsia"/>
                <w:kern w:val="0"/>
                <w:szCs w:val="21"/>
              </w:rPr>
              <w:t>按合同要求，维护材料使用投标品牌，除需求紧急并报经采购人同意，不得更改，此类情况每次扣1分，</w:t>
            </w:r>
            <w:r>
              <w:rPr>
                <w:rFonts w:ascii="宋体" w:eastAsia="宋体" w:hAnsi="宋体" w:cs="宋体" w:hint="eastAsia"/>
                <w:b/>
                <w:kern w:val="0"/>
                <w:szCs w:val="21"/>
                <w:u w:val="single"/>
              </w:rPr>
              <w:t>扣10000元</w:t>
            </w:r>
            <w:r>
              <w:rPr>
                <w:rFonts w:ascii="宋体" w:eastAsia="宋体" w:hAnsi="宋体" w:cs="宋体" w:hint="eastAsia"/>
                <w:kern w:val="0"/>
                <w:szCs w:val="21"/>
              </w:rPr>
              <w:t>。库存相应数量、型号的维修材料。每缺少1台（套）材料扣0.2分，</w:t>
            </w:r>
            <w:r>
              <w:rPr>
                <w:rFonts w:ascii="宋体" w:eastAsia="宋体" w:hAnsi="宋体" w:cs="宋体" w:hint="eastAsia"/>
                <w:b/>
                <w:kern w:val="0"/>
                <w:szCs w:val="21"/>
                <w:u w:val="single"/>
              </w:rPr>
              <w:t>扣2000元</w:t>
            </w:r>
            <w:r>
              <w:rPr>
                <w:rFonts w:ascii="宋体" w:eastAsia="宋体" w:hAnsi="宋体" w:cs="宋体" w:hint="eastAsia"/>
                <w:kern w:val="0"/>
                <w:szCs w:val="21"/>
              </w:rPr>
              <w:t>。（检查发现材料不足后在10个工作日内补足，如未补足，继续执行扣分、扣款，并以累加。）</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kern w:val="0"/>
                <w:szCs w:val="21"/>
              </w:rPr>
            </w:pPr>
          </w:p>
        </w:tc>
      </w:tr>
      <w:tr>
        <w:tblPrEx>
          <w:tblW w:w="8860" w:type="dxa"/>
          <w:tblInd w:w="0" w:type="dxa"/>
          <w:tblLayout w:type="fixed"/>
          <w:tblCellMar>
            <w:top w:w="0" w:type="dxa"/>
            <w:left w:w="0" w:type="dxa"/>
            <w:bottom w:w="0" w:type="dxa"/>
            <w:right w:w="0" w:type="dxa"/>
          </w:tblCellMar>
        </w:tblPrEx>
        <w:trPr>
          <w:trHeight w:val="283"/>
        </w:trPr>
        <w:tc>
          <w:tcPr>
            <w:tcW w:w="4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3</w:t>
            </w:r>
          </w:p>
        </w:tc>
        <w:tc>
          <w:tcPr>
            <w:tcW w:w="6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r>
              <w:rPr>
                <w:rFonts w:ascii="宋体" w:eastAsia="宋体" w:hAnsi="宋体" w:cs="宋体" w:hint="eastAsia"/>
                <w:b/>
                <w:kern w:val="0"/>
                <w:szCs w:val="21"/>
              </w:rPr>
              <w:t>线路普查</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普查数据提交</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在完成电缆线路普查后10天内将数据提交至采购人，采购人可对数据进行抽检，发现与实际不符的，每处扣0.5分，</w:t>
            </w:r>
            <w:r>
              <w:rPr>
                <w:rFonts w:ascii="宋体" w:eastAsia="宋体" w:hAnsi="宋体" w:cs="宋体" w:hint="eastAsia"/>
                <w:b/>
                <w:bCs/>
                <w:kern w:val="0"/>
                <w:szCs w:val="21"/>
                <w:u w:val="single"/>
              </w:rPr>
              <w:t>扣1000</w:t>
            </w:r>
            <w:r>
              <w:rPr>
                <w:rFonts w:ascii="宋体" w:eastAsia="宋体" w:hAnsi="宋体" w:cs="宋体" w:hint="eastAsia"/>
                <w:kern w:val="0"/>
                <w:szCs w:val="21"/>
              </w:rPr>
              <w:t>元。</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4</w:t>
            </w:r>
          </w:p>
        </w:tc>
        <w:tc>
          <w:tcPr>
            <w:tcW w:w="64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r>
              <w:rPr>
                <w:rFonts w:ascii="宋体" w:eastAsia="宋体" w:hAnsi="宋体" w:cs="宋体" w:hint="eastAsia"/>
                <w:b/>
                <w:kern w:val="0"/>
                <w:szCs w:val="21"/>
              </w:rPr>
              <w:t>维护和抢修质量</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r>
              <w:rPr>
                <w:rFonts w:ascii="宋体" w:eastAsia="宋体" w:hAnsi="宋体" w:cs="宋体" w:hint="eastAsia"/>
                <w:szCs w:val="21"/>
              </w:rPr>
              <w:t>未按要求和时间完成采购人安排的临时性突击任务</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r>
              <w:rPr>
                <w:rFonts w:ascii="宋体" w:eastAsia="宋体" w:hAnsi="宋体" w:cs="宋体" w:hint="eastAsia"/>
                <w:kern w:val="0"/>
                <w:szCs w:val="21"/>
              </w:rPr>
              <w:t>每次扣1分，</w:t>
            </w:r>
            <w:r>
              <w:rPr>
                <w:rFonts w:ascii="宋体" w:eastAsia="宋体" w:hAnsi="宋体" w:cs="宋体" w:hint="eastAsia"/>
                <w:b/>
                <w:kern w:val="0"/>
                <w:szCs w:val="21"/>
                <w:u w:val="single"/>
              </w:rPr>
              <w:t>扣1000元</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kern w:val="0"/>
                <w:szCs w:val="21"/>
              </w:rPr>
            </w:pP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发现或接到故障报告后未按合同要求完成抢修或未按照采购人要求时间完成。</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未按时修复，每次扣2分，</w:t>
            </w:r>
            <w:r>
              <w:rPr>
                <w:rFonts w:ascii="宋体" w:eastAsia="宋体" w:hAnsi="宋体" w:cs="宋体" w:hint="eastAsia"/>
                <w:b/>
                <w:kern w:val="0"/>
                <w:szCs w:val="21"/>
                <w:u w:val="single"/>
              </w:rPr>
              <w:t>扣10000元</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二次事故</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如在维修、抢修工作中发生二次事故，扣5分，扣</w:t>
            </w:r>
            <w:r>
              <w:rPr>
                <w:rFonts w:ascii="宋体" w:eastAsia="宋体" w:hAnsi="宋体" w:cs="宋体" w:hint="eastAsia"/>
                <w:b/>
                <w:kern w:val="0"/>
                <w:szCs w:val="21"/>
                <w:u w:val="single"/>
              </w:rPr>
              <w:t>10000元</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维护或抢修工作完成情况</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不合格的除返工至合格外，每次扣2分，</w:t>
            </w:r>
            <w:r>
              <w:rPr>
                <w:rFonts w:ascii="宋体" w:eastAsia="宋体" w:hAnsi="宋体" w:cs="宋体" w:hint="eastAsia"/>
                <w:b/>
                <w:kern w:val="0"/>
                <w:szCs w:val="21"/>
                <w:u w:val="single"/>
              </w:rPr>
              <w:t>扣20000元</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r>
              <w:rPr>
                <w:rFonts w:ascii="宋体" w:eastAsia="宋体" w:hAnsi="宋体" w:cs="宋体" w:hint="eastAsia"/>
                <w:kern w:val="0"/>
                <w:szCs w:val="21"/>
              </w:rPr>
              <w:t>抢修人员按照要求是否到位</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r>
              <w:rPr>
                <w:rFonts w:ascii="宋体" w:eastAsia="宋体" w:hAnsi="宋体" w:cs="宋体" w:hint="eastAsia"/>
                <w:kern w:val="0"/>
                <w:szCs w:val="21"/>
              </w:rPr>
              <w:t>未到位每人次扣0.3分，</w:t>
            </w:r>
            <w:r>
              <w:rPr>
                <w:rFonts w:ascii="宋体" w:eastAsia="宋体" w:hAnsi="宋体" w:cs="宋体" w:hint="eastAsia"/>
                <w:b/>
                <w:kern w:val="0"/>
                <w:szCs w:val="21"/>
                <w:u w:val="single"/>
              </w:rPr>
              <w:t>扣1000元</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kern w:val="0"/>
                <w:szCs w:val="21"/>
              </w:rPr>
            </w:pP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抢修后提供抢修报告</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需在完成故障抢修后3个工作日内，将抢修报告提交采购人，未及时提交的，每次扣0.5分，</w:t>
            </w:r>
            <w:r>
              <w:rPr>
                <w:rFonts w:ascii="宋体" w:eastAsia="宋体" w:hAnsi="宋体" w:cs="宋体" w:hint="eastAsia"/>
                <w:b/>
                <w:kern w:val="0"/>
                <w:szCs w:val="21"/>
                <w:u w:val="single"/>
              </w:rPr>
              <w:t>扣1000元</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5</w:t>
            </w:r>
          </w:p>
        </w:tc>
        <w:tc>
          <w:tcPr>
            <w:tcW w:w="64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r>
              <w:rPr>
                <w:rFonts w:ascii="宋体" w:eastAsia="宋体" w:hAnsi="宋体" w:cs="宋体" w:hint="eastAsia"/>
                <w:b/>
                <w:kern w:val="0"/>
                <w:szCs w:val="21"/>
              </w:rPr>
              <w:t>安全措施</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施工人员携证上岗，穿着工作服、反光衣、戴安全帽，按照电气安全规范操作</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未携证上岗扣0.2分/人次，扣</w:t>
            </w:r>
            <w:r>
              <w:rPr>
                <w:rFonts w:ascii="宋体" w:eastAsia="宋体" w:hAnsi="宋体" w:cs="宋体" w:hint="eastAsia"/>
                <w:b/>
                <w:kern w:val="0"/>
                <w:szCs w:val="21"/>
                <w:u w:val="single"/>
              </w:rPr>
              <w:t>1000元/人次</w:t>
            </w:r>
            <w:r>
              <w:rPr>
                <w:rFonts w:ascii="宋体" w:eastAsia="宋体" w:hAnsi="宋体" w:cs="宋体" w:hint="eastAsia"/>
                <w:kern w:val="0"/>
                <w:szCs w:val="21"/>
              </w:rPr>
              <w:t>；未穿着反光衣、工作服或戴安全帽扣0.2分/人次，</w:t>
            </w:r>
            <w:r>
              <w:rPr>
                <w:rFonts w:ascii="宋体" w:eastAsia="宋体" w:hAnsi="宋体" w:cs="宋体" w:hint="eastAsia"/>
                <w:b/>
                <w:kern w:val="0"/>
                <w:szCs w:val="21"/>
                <w:u w:val="single"/>
              </w:rPr>
              <w:t>扣1000元/人次</w:t>
            </w:r>
            <w:r>
              <w:rPr>
                <w:rFonts w:ascii="宋体" w:eastAsia="宋体" w:hAnsi="宋体" w:cs="宋体" w:hint="eastAsia"/>
                <w:kern w:val="0"/>
                <w:szCs w:val="21"/>
              </w:rPr>
              <w:t>；未按电气安全规范操作扣2分/次，扣</w:t>
            </w:r>
            <w:r>
              <w:rPr>
                <w:rFonts w:ascii="宋体" w:eastAsia="宋体" w:hAnsi="宋体" w:cs="宋体" w:hint="eastAsia"/>
                <w:b/>
                <w:kern w:val="0"/>
                <w:szCs w:val="21"/>
                <w:u w:val="single"/>
              </w:rPr>
              <w:t>2000元/人次</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现场安全警示设施（含占道安全设施设置、作业区警示设置）等</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未按相关安全要求设置防护、安全措施，扣0.2分/次，</w:t>
            </w:r>
            <w:r>
              <w:rPr>
                <w:rFonts w:ascii="宋体" w:eastAsia="宋体" w:hAnsi="宋体" w:cs="宋体" w:hint="eastAsia"/>
                <w:b/>
                <w:kern w:val="0"/>
                <w:szCs w:val="21"/>
                <w:u w:val="single"/>
              </w:rPr>
              <w:t>扣1000元/次</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安全员到场情况</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安全员不到场扣0.5分/次，</w:t>
            </w:r>
            <w:r>
              <w:rPr>
                <w:rFonts w:ascii="宋体" w:eastAsia="宋体" w:hAnsi="宋体" w:cs="宋体" w:hint="eastAsia"/>
                <w:b/>
                <w:kern w:val="0"/>
                <w:szCs w:val="21"/>
                <w:u w:val="single"/>
              </w:rPr>
              <w:t>扣2000元/次</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出现安全事故（不包括重伤、死亡）</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每次扣10分，</w:t>
            </w:r>
            <w:r>
              <w:rPr>
                <w:rFonts w:ascii="宋体" w:eastAsia="宋体" w:hAnsi="宋体" w:cs="宋体" w:hint="eastAsia"/>
                <w:b/>
                <w:kern w:val="0"/>
                <w:szCs w:val="21"/>
                <w:u w:val="single"/>
              </w:rPr>
              <w:t>扣10000元。</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6</w:t>
            </w:r>
          </w:p>
        </w:tc>
        <w:tc>
          <w:tcPr>
            <w:tcW w:w="64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r>
              <w:rPr>
                <w:rFonts w:ascii="宋体" w:eastAsia="宋体" w:hAnsi="宋体" w:cs="宋体" w:hint="eastAsia"/>
                <w:b/>
                <w:kern w:val="0"/>
                <w:szCs w:val="21"/>
              </w:rPr>
              <w:t>文明施工</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left"/>
              <w:textAlignment w:val="center"/>
              <w:rPr>
                <w:rFonts w:ascii="宋体" w:eastAsia="宋体" w:hAnsi="宋体" w:cs="宋体" w:hint="eastAsia"/>
                <w:szCs w:val="21"/>
              </w:rPr>
            </w:pPr>
            <w:r>
              <w:rPr>
                <w:rFonts w:ascii="宋体" w:eastAsia="宋体" w:hAnsi="宋体" w:cs="宋体" w:hint="eastAsia"/>
                <w:kern w:val="0"/>
                <w:szCs w:val="21"/>
              </w:rPr>
              <w:t>日常维护（其他工作）文明施工</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存在不文明施工现象，每次扣0.2分，</w:t>
            </w:r>
            <w:r>
              <w:rPr>
                <w:rFonts w:ascii="宋体" w:eastAsia="宋体" w:hAnsi="宋体" w:cs="宋体" w:hint="eastAsia"/>
                <w:b/>
                <w:kern w:val="0"/>
                <w:szCs w:val="21"/>
                <w:u w:val="single"/>
              </w:rPr>
              <w:t>扣2000元/次。</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left"/>
              <w:textAlignment w:val="center"/>
              <w:rPr>
                <w:rFonts w:ascii="宋体" w:eastAsia="宋体" w:hAnsi="宋体" w:cs="宋体" w:hint="eastAsia"/>
                <w:szCs w:val="21"/>
              </w:rPr>
            </w:pPr>
            <w:r>
              <w:rPr>
                <w:rFonts w:ascii="宋体" w:eastAsia="宋体" w:hAnsi="宋体" w:cs="宋体" w:hint="eastAsia"/>
                <w:kern w:val="0"/>
                <w:szCs w:val="21"/>
              </w:rPr>
              <w:t>重大任务应急抢修文明施工</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存在不文明施工现象，每次扣0.2分，</w:t>
            </w:r>
            <w:r>
              <w:rPr>
                <w:rFonts w:ascii="宋体" w:eastAsia="宋体" w:hAnsi="宋体" w:cs="宋体" w:hint="eastAsia"/>
                <w:b/>
                <w:kern w:val="0"/>
                <w:szCs w:val="21"/>
                <w:u w:val="single"/>
              </w:rPr>
              <w:t>扣5000元/次。</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7</w:t>
            </w:r>
          </w:p>
        </w:tc>
        <w:tc>
          <w:tcPr>
            <w:tcW w:w="6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r>
              <w:rPr>
                <w:rFonts w:ascii="宋体" w:eastAsia="宋体" w:hAnsi="宋体" w:cs="宋体" w:hint="eastAsia"/>
                <w:b/>
                <w:kern w:val="0"/>
                <w:szCs w:val="21"/>
              </w:rPr>
              <w:t>继保巡查</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每月对所有装有继保装置的户外柜、箱变巡查。</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巡查内容需含外观检查、状态检查、电源回路检查、装置信息检查等，检查中发现设备状态不正常在2天内修复，未修复，每项每次扣0.1分，</w:t>
            </w:r>
            <w:r>
              <w:rPr>
                <w:rFonts w:ascii="宋体" w:eastAsia="宋体" w:hAnsi="宋体" w:cs="宋体" w:hint="eastAsia"/>
                <w:b/>
                <w:kern w:val="0"/>
                <w:szCs w:val="21"/>
                <w:u w:val="single"/>
              </w:rPr>
              <w:t>扣5000元</w:t>
            </w:r>
            <w:r>
              <w:rPr>
                <w:rFonts w:ascii="宋体" w:eastAsia="宋体" w:hAnsi="宋体" w:cs="宋体" w:hint="eastAsia"/>
                <w:kern w:val="0"/>
                <w:szCs w:val="21"/>
              </w:rPr>
              <w:t>。未做到按时巡查一次每处扣0.2分。</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8</w:t>
            </w:r>
          </w:p>
        </w:tc>
        <w:tc>
          <w:tcPr>
            <w:tcW w:w="64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r>
              <w:rPr>
                <w:rFonts w:ascii="宋体" w:eastAsia="宋体" w:hAnsi="宋体" w:cs="宋体" w:hint="eastAsia"/>
                <w:b/>
                <w:kern w:val="0"/>
                <w:szCs w:val="21"/>
              </w:rPr>
              <w:t>箱变外观、配电设施完好情况</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1、箱体锈蚀、脱漆（1/5以上）</w:t>
            </w:r>
          </w:p>
        </w:tc>
        <w:tc>
          <w:tcPr>
            <w:tcW w:w="3855"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检查发现左边表格所列情况设的，每处扣0.1分</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2、电缆井破损</w:t>
            </w:r>
          </w:p>
        </w:tc>
        <w:tc>
          <w:tcPr>
            <w:tcW w:w="3855"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3、未悬挂安全警示标语、箱变信息。</w:t>
            </w:r>
          </w:p>
        </w:tc>
        <w:tc>
          <w:tcPr>
            <w:tcW w:w="3855"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4、箱变（配电房）、环网柜室、变压器室卫生差、积尘较多、有影响运行或安全的异物。</w:t>
            </w:r>
          </w:p>
        </w:tc>
        <w:tc>
          <w:tcPr>
            <w:tcW w:w="3855"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5、配电房、箱变抽风机未正常运转。</w:t>
            </w:r>
          </w:p>
        </w:tc>
        <w:tc>
          <w:tcPr>
            <w:tcW w:w="3855"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r>
              <w:rPr>
                <w:rFonts w:ascii="宋体" w:eastAsia="宋体" w:hAnsi="宋体" w:cs="宋体" w:hint="eastAsia"/>
                <w:kern w:val="0"/>
                <w:szCs w:val="21"/>
              </w:rPr>
              <w:t>6、变压器温度异常。</w:t>
            </w:r>
          </w:p>
        </w:tc>
        <w:tc>
          <w:tcPr>
            <w:tcW w:w="3855"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kern w:val="0"/>
                <w:szCs w:val="21"/>
              </w:rPr>
            </w:pP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7、围栏破损。</w:t>
            </w:r>
          </w:p>
        </w:tc>
        <w:tc>
          <w:tcPr>
            <w:tcW w:w="3855"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8、箱变周边堆放杂物。</w:t>
            </w:r>
          </w:p>
        </w:tc>
        <w:tc>
          <w:tcPr>
            <w:tcW w:w="3855"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9、其他日常维护项目未做或不达要求的（考核时写明不达要求项）。</w:t>
            </w:r>
          </w:p>
        </w:tc>
        <w:tc>
          <w:tcPr>
            <w:tcW w:w="3855"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left"/>
              <w:textAlignment w:val="center"/>
              <w:rPr>
                <w:rFonts w:ascii="宋体" w:eastAsia="宋体" w:hAnsi="宋体" w:cs="宋体" w:hint="eastAsia"/>
                <w:szCs w:val="21"/>
              </w:rPr>
            </w:pPr>
            <w:r>
              <w:rPr>
                <w:rFonts w:ascii="宋体" w:eastAsia="宋体" w:hAnsi="宋体" w:cs="宋体" w:hint="eastAsia"/>
                <w:kern w:val="0"/>
                <w:szCs w:val="21"/>
              </w:rPr>
              <w:t>10、合同期内，设施在未经采购人同意的情况遭外单位迁改或被其他非我中心用电设施接入的。</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检查发现左边表格所列情况设的，每处扣2分</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9</w:t>
            </w:r>
          </w:p>
        </w:tc>
        <w:tc>
          <w:tcPr>
            <w:tcW w:w="6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r>
              <w:rPr>
                <w:rFonts w:ascii="宋体" w:eastAsia="宋体" w:hAnsi="宋体" w:cs="宋体" w:hint="eastAsia"/>
                <w:b/>
                <w:kern w:val="0"/>
                <w:szCs w:val="21"/>
              </w:rPr>
              <w:t>设施更新</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及时处理采购人按合同提出的设施更新要求。</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设施更新任务未在采购人提出的时限内完成，扣1分，</w:t>
            </w:r>
            <w:r>
              <w:rPr>
                <w:rFonts w:ascii="宋体" w:eastAsia="宋体" w:hAnsi="宋体" w:cs="宋体" w:hint="eastAsia"/>
                <w:b/>
                <w:kern w:val="0"/>
                <w:szCs w:val="21"/>
                <w:u w:val="single"/>
              </w:rPr>
              <w:t>扣10000元</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1496"/>
        </w:trPr>
        <w:tc>
          <w:tcPr>
            <w:tcW w:w="4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kern w:val="0"/>
                <w:szCs w:val="21"/>
                <w:lang w:val="en-US" w:eastAsia="zh-CN"/>
              </w:rPr>
            </w:pPr>
            <w:r>
              <w:rPr>
                <w:rFonts w:ascii="宋体" w:eastAsia="宋体" w:hAnsi="宋体" w:cs="宋体" w:hint="eastAsia"/>
                <w:kern w:val="0"/>
                <w:szCs w:val="21"/>
                <w:lang w:val="en-US" w:eastAsia="zh-CN"/>
              </w:rPr>
              <w:t>10</w:t>
            </w:r>
          </w:p>
        </w:tc>
        <w:tc>
          <w:tcPr>
            <w:tcW w:w="6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kern w:val="0"/>
                <w:szCs w:val="21"/>
                <w:lang w:val="en-US" w:eastAsia="zh-CN"/>
              </w:rPr>
            </w:pPr>
            <w:r>
              <w:rPr>
                <w:rFonts w:ascii="宋体" w:eastAsia="宋体" w:hAnsi="宋体" w:cs="宋体" w:hint="eastAsia"/>
                <w:b/>
                <w:kern w:val="0"/>
                <w:szCs w:val="21"/>
                <w:lang w:val="en-US" w:eastAsia="zh-CN"/>
              </w:rPr>
              <w:t>应急发电响应</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lang w:val="en-US" w:eastAsia="zh-CN"/>
              </w:rPr>
            </w:pPr>
            <w:r>
              <w:rPr>
                <w:rFonts w:ascii="宋体" w:eastAsia="宋体" w:hAnsi="宋体" w:cs="宋体" w:hint="eastAsia"/>
                <w:sz w:val="21"/>
                <w:szCs w:val="21"/>
                <w:lang w:val="en-US" w:eastAsia="zh-CN"/>
              </w:rPr>
              <w:t>需要发电车保障用电时，发电车</w:t>
            </w:r>
            <w:r>
              <w:rPr>
                <w:rFonts w:ascii="宋体" w:hAnsi="宋体" w:cs="宋体" w:hint="eastAsia"/>
                <w:sz w:val="21"/>
                <w:szCs w:val="21"/>
                <w:lang w:val="en-US" w:eastAsia="zh-CN"/>
              </w:rPr>
              <w:t>2</w:t>
            </w:r>
            <w:r>
              <w:rPr>
                <w:rFonts w:ascii="宋体" w:eastAsia="宋体" w:hAnsi="宋体" w:cs="宋体" w:hint="eastAsia"/>
                <w:sz w:val="21"/>
                <w:szCs w:val="21"/>
                <w:lang w:val="en-US" w:eastAsia="zh-CN"/>
              </w:rPr>
              <w:t>小时内到达现场</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left"/>
              <w:textAlignment w:val="center"/>
              <w:rPr>
                <w:rFonts w:ascii="宋体" w:eastAsia="宋体" w:hAnsi="宋体" w:cs="宋体" w:hint="eastAsia"/>
                <w:kern w:val="0"/>
                <w:szCs w:val="21"/>
                <w:lang w:val="en-US" w:eastAsia="zh-CN"/>
              </w:rPr>
            </w:pPr>
            <w:r>
              <w:rPr>
                <w:rFonts w:ascii="宋体" w:eastAsia="宋体" w:hAnsi="宋体" w:cs="宋体" w:hint="eastAsia"/>
                <w:kern w:val="0"/>
                <w:szCs w:val="21"/>
                <w:lang w:val="en-US" w:eastAsia="zh-CN"/>
              </w:rPr>
              <w:t>发电车超出</w:t>
            </w:r>
            <w:r>
              <w:rPr>
                <w:rFonts w:ascii="宋体" w:hAnsi="宋体" w:cs="宋体" w:hint="eastAsia"/>
                <w:kern w:val="0"/>
                <w:szCs w:val="21"/>
                <w:lang w:val="en-US" w:eastAsia="zh-CN"/>
              </w:rPr>
              <w:t>2</w:t>
            </w:r>
            <w:r>
              <w:rPr>
                <w:rFonts w:ascii="宋体" w:eastAsia="宋体" w:hAnsi="宋体" w:cs="宋体" w:hint="eastAsia"/>
                <w:kern w:val="0"/>
                <w:szCs w:val="21"/>
                <w:lang w:val="en-US" w:eastAsia="zh-CN"/>
              </w:rPr>
              <w:t>小时到达现场，</w:t>
            </w:r>
            <w:r>
              <w:rPr>
                <w:rFonts w:ascii="宋体" w:eastAsia="宋体" w:hAnsi="宋体" w:cs="宋体" w:hint="eastAsia"/>
                <w:b/>
                <w:kern w:val="0"/>
                <w:szCs w:val="21"/>
                <w:u w:val="single"/>
              </w:rPr>
              <w:t>扣</w:t>
            </w:r>
            <w:r>
              <w:rPr>
                <w:rFonts w:ascii="宋体" w:eastAsia="宋体" w:hAnsi="宋体" w:cs="宋体" w:hint="eastAsia"/>
                <w:b/>
                <w:kern w:val="0"/>
                <w:szCs w:val="21"/>
                <w:u w:val="single"/>
                <w:lang w:val="en-US" w:eastAsia="zh-CN"/>
              </w:rPr>
              <w:t>2</w:t>
            </w:r>
            <w:r>
              <w:rPr>
                <w:rFonts w:ascii="宋体" w:eastAsia="宋体" w:hAnsi="宋体" w:cs="宋体" w:hint="eastAsia"/>
                <w:b/>
                <w:kern w:val="0"/>
                <w:szCs w:val="21"/>
                <w:u w:val="single"/>
              </w:rPr>
              <w:t>000元</w:t>
            </w:r>
            <w:r>
              <w:rPr>
                <w:rFonts w:ascii="宋体" w:eastAsia="宋体" w:hAnsi="宋体" w:cs="宋体" w:hint="eastAsia"/>
                <w:b/>
                <w:kern w:val="0"/>
                <w:szCs w:val="21"/>
                <w:u w:val="single"/>
                <w:lang w:eastAsia="zh-CN"/>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kern w:val="0"/>
                <w:szCs w:val="21"/>
              </w:rPr>
            </w:pP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kern w:val="0"/>
                <w:szCs w:val="21"/>
              </w:rPr>
            </w:pPr>
          </w:p>
        </w:tc>
      </w:tr>
      <w:tr>
        <w:tblPrEx>
          <w:tblW w:w="8860" w:type="dxa"/>
          <w:tblInd w:w="0" w:type="dxa"/>
          <w:tblLayout w:type="fixed"/>
          <w:tblCellMar>
            <w:top w:w="0" w:type="dxa"/>
            <w:left w:w="0" w:type="dxa"/>
            <w:bottom w:w="0" w:type="dxa"/>
            <w:right w:w="0" w:type="dxa"/>
          </w:tblCellMar>
        </w:tblPrEx>
        <w:trPr>
          <w:trHeight w:val="283"/>
        </w:trPr>
        <w:tc>
          <w:tcPr>
            <w:tcW w:w="4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lang w:eastAsia="zh-CN"/>
              </w:rPr>
            </w:pPr>
            <w:r>
              <w:rPr>
                <w:rFonts w:ascii="宋体" w:eastAsia="宋体" w:hAnsi="宋体" w:cs="宋体" w:hint="eastAsia"/>
                <w:kern w:val="0"/>
                <w:szCs w:val="21"/>
              </w:rPr>
              <w:t>1</w:t>
            </w:r>
            <w:r>
              <w:rPr>
                <w:rFonts w:ascii="宋体" w:eastAsia="宋体" w:hAnsi="宋体" w:cs="宋体" w:hint="eastAsia"/>
                <w:kern w:val="0"/>
                <w:szCs w:val="21"/>
                <w:lang w:val="en-US" w:eastAsia="zh-CN"/>
              </w:rPr>
              <w:t>1</w:t>
            </w:r>
          </w:p>
        </w:tc>
        <w:tc>
          <w:tcPr>
            <w:tcW w:w="6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r>
              <w:rPr>
                <w:rFonts w:ascii="宋体" w:eastAsia="宋体" w:hAnsi="宋体" w:cs="宋体" w:hint="eastAsia"/>
                <w:b/>
                <w:kern w:val="0"/>
                <w:szCs w:val="21"/>
              </w:rPr>
              <w:t>外接用电管理</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不得私自提供电源予其他单位</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left"/>
              <w:textAlignment w:val="center"/>
              <w:rPr>
                <w:rFonts w:ascii="宋体" w:eastAsia="宋体" w:hAnsi="宋体" w:cs="宋体" w:hint="eastAsia"/>
                <w:szCs w:val="21"/>
              </w:rPr>
            </w:pPr>
            <w:r>
              <w:rPr>
                <w:rFonts w:ascii="宋体" w:eastAsia="宋体" w:hAnsi="宋体" w:cs="宋体" w:hint="eastAsia"/>
                <w:kern w:val="0"/>
                <w:szCs w:val="21"/>
              </w:rPr>
              <w:t>私自提供电源每次扣10分，</w:t>
            </w:r>
            <w:r>
              <w:rPr>
                <w:rFonts w:ascii="宋体" w:eastAsia="宋体" w:hAnsi="宋体" w:cs="宋体" w:hint="eastAsia"/>
                <w:b/>
                <w:kern w:val="0"/>
                <w:szCs w:val="21"/>
                <w:u w:val="single"/>
              </w:rPr>
              <w:t>扣10000元</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lang w:eastAsia="zh-CN"/>
              </w:rPr>
            </w:pPr>
            <w:r>
              <w:rPr>
                <w:rFonts w:ascii="宋体" w:eastAsia="宋体" w:hAnsi="宋体" w:cs="宋体" w:hint="eastAsia"/>
                <w:kern w:val="0"/>
                <w:szCs w:val="21"/>
              </w:rPr>
              <w:t>1</w:t>
            </w:r>
            <w:r>
              <w:rPr>
                <w:rFonts w:ascii="宋体" w:eastAsia="宋体" w:hAnsi="宋体" w:cs="宋体" w:hint="eastAsia"/>
                <w:kern w:val="0"/>
                <w:szCs w:val="21"/>
                <w:lang w:val="en-US" w:eastAsia="zh-CN"/>
              </w:rPr>
              <w:t>2</w:t>
            </w:r>
          </w:p>
        </w:tc>
        <w:tc>
          <w:tcPr>
            <w:tcW w:w="6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r>
              <w:rPr>
                <w:rFonts w:ascii="宋体" w:eastAsia="宋体" w:hAnsi="宋体" w:cs="宋体" w:hint="eastAsia"/>
                <w:b/>
                <w:kern w:val="0"/>
                <w:szCs w:val="21"/>
              </w:rPr>
              <w:t>设施档案</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按不同辖区对每处设施建立设备档案，每季度检查一次。</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xml:space="preserve"> 按合同中对档案的要求由中标人编制目录交采购人核定。如相关档案的资料达不到合同各项要求，扣0.2分，</w:t>
            </w:r>
            <w:r>
              <w:rPr>
                <w:rFonts w:ascii="宋体" w:eastAsia="宋体" w:hAnsi="宋体" w:cs="宋体" w:hint="eastAsia"/>
                <w:b/>
                <w:kern w:val="0"/>
                <w:szCs w:val="21"/>
                <w:u w:val="single"/>
              </w:rPr>
              <w:t>扣5000元</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lang w:eastAsia="zh-CN"/>
              </w:rPr>
            </w:pPr>
            <w:r>
              <w:rPr>
                <w:rFonts w:ascii="宋体" w:eastAsia="宋体" w:hAnsi="宋体" w:cs="宋体" w:hint="eastAsia"/>
                <w:kern w:val="0"/>
                <w:szCs w:val="21"/>
              </w:rPr>
              <w:t>1</w:t>
            </w:r>
            <w:r>
              <w:rPr>
                <w:rFonts w:ascii="宋体" w:eastAsia="宋体" w:hAnsi="宋体" w:cs="宋体" w:hint="eastAsia"/>
                <w:kern w:val="0"/>
                <w:szCs w:val="21"/>
                <w:lang w:val="en-US" w:eastAsia="zh-CN"/>
              </w:rPr>
              <w:t>3</w:t>
            </w:r>
          </w:p>
        </w:tc>
        <w:tc>
          <w:tcPr>
            <w:tcW w:w="64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r>
              <w:rPr>
                <w:rFonts w:ascii="宋体" w:eastAsia="宋体" w:hAnsi="宋体" w:cs="宋体" w:hint="eastAsia"/>
                <w:b/>
                <w:kern w:val="0"/>
                <w:szCs w:val="21"/>
              </w:rPr>
              <w:t>设施单线图、位置图</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每半年核对单线图、位置系统图，对发现的问题及时更新。</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未提交更新图纸，扣1分，</w:t>
            </w:r>
            <w:r>
              <w:rPr>
                <w:rFonts w:ascii="宋体" w:eastAsia="宋体" w:hAnsi="宋体" w:cs="宋体" w:hint="eastAsia"/>
                <w:b/>
                <w:kern w:val="0"/>
                <w:szCs w:val="21"/>
                <w:u w:val="single"/>
              </w:rPr>
              <w:t>扣10000元</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单线图、位置图修改</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对采购人提出的修改意见在10个工作日内未处理完成，扣0.5分，</w:t>
            </w:r>
            <w:r>
              <w:rPr>
                <w:rFonts w:ascii="宋体" w:eastAsia="宋体" w:hAnsi="宋体" w:cs="宋体" w:hint="eastAsia"/>
                <w:b/>
                <w:kern w:val="0"/>
                <w:szCs w:val="21"/>
                <w:u w:val="single"/>
              </w:rPr>
              <w:t>扣2000元</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lang w:eastAsia="zh-CN"/>
              </w:rPr>
            </w:pPr>
            <w:r>
              <w:rPr>
                <w:rFonts w:ascii="宋体" w:eastAsia="宋体" w:hAnsi="宋体" w:cs="宋体" w:hint="eastAsia"/>
                <w:kern w:val="0"/>
                <w:szCs w:val="21"/>
              </w:rPr>
              <w:t>1</w:t>
            </w:r>
            <w:r>
              <w:rPr>
                <w:rFonts w:ascii="宋体" w:eastAsia="宋体" w:hAnsi="宋体" w:cs="宋体" w:hint="eastAsia"/>
                <w:kern w:val="0"/>
                <w:szCs w:val="21"/>
                <w:lang w:val="en-US" w:eastAsia="zh-CN"/>
              </w:rPr>
              <w:t>4</w:t>
            </w:r>
          </w:p>
        </w:tc>
        <w:tc>
          <w:tcPr>
            <w:tcW w:w="64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r>
              <w:rPr>
                <w:rFonts w:ascii="宋体" w:eastAsia="宋体" w:hAnsi="宋体" w:cs="宋体" w:hint="eastAsia"/>
                <w:b/>
                <w:kern w:val="0"/>
                <w:szCs w:val="21"/>
              </w:rPr>
              <w:t>工作计划和工作方案</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下月工作计划</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每月25日将下月的维护计划、巡查计划报送所辖管理所，未报送扣0.3分</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上月维护工作报告</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每月5日前将上月的维护工作形成报告，报送所辖管理所，未报送扣0.3分</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工作记录汇总</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每月5日前将上月的维护工作记录（需含每次维护、抢修工作照片）汇总，报送所辖管理所，未报送扣0.3分</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lang w:eastAsia="zh-CN"/>
              </w:rPr>
            </w:pPr>
            <w:r>
              <w:rPr>
                <w:rFonts w:ascii="宋体" w:eastAsia="宋体" w:hAnsi="宋体" w:cs="宋体" w:hint="eastAsia"/>
                <w:kern w:val="0"/>
                <w:szCs w:val="21"/>
              </w:rPr>
              <w:t>1</w:t>
            </w:r>
            <w:r>
              <w:rPr>
                <w:rFonts w:ascii="宋体" w:eastAsia="宋体" w:hAnsi="宋体" w:cs="宋体" w:hint="eastAsia"/>
                <w:kern w:val="0"/>
                <w:szCs w:val="21"/>
                <w:lang w:val="en-US" w:eastAsia="zh-CN"/>
              </w:rPr>
              <w:t>5</w:t>
            </w:r>
          </w:p>
        </w:tc>
        <w:tc>
          <w:tcPr>
            <w:tcW w:w="64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r>
              <w:rPr>
                <w:rFonts w:ascii="宋体" w:eastAsia="宋体" w:hAnsi="宋体" w:cs="宋体" w:hint="eastAsia"/>
                <w:b/>
                <w:kern w:val="0"/>
                <w:szCs w:val="21"/>
              </w:rPr>
              <w:t>报告提交</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信息提交：按要求通过采购人精细化管理系统提交每天工作信息（须提交工作照片）。</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未按要求提供，每次扣0.2分，</w:t>
            </w:r>
            <w:r>
              <w:rPr>
                <w:rFonts w:ascii="宋体" w:eastAsia="宋体" w:hAnsi="宋体" w:cs="宋体" w:hint="eastAsia"/>
                <w:b/>
                <w:kern w:val="0"/>
                <w:szCs w:val="21"/>
                <w:u w:val="single"/>
              </w:rPr>
              <w:t>扣2000元</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p>
        </w:tc>
        <w:tc>
          <w:tcPr>
            <w:tcW w:w="64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报告提交：按要求向所辖管理所及采购人管理部门提交抢修报告</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未按要求按时提供报告，每次扣0.2分，</w:t>
            </w:r>
            <w:r>
              <w:rPr>
                <w:rFonts w:ascii="宋体" w:eastAsia="宋体" w:hAnsi="宋体" w:cs="宋体" w:hint="eastAsia"/>
                <w:b/>
                <w:kern w:val="0"/>
                <w:szCs w:val="21"/>
                <w:u w:val="single"/>
              </w:rPr>
              <w:t>扣2000元</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lang w:eastAsia="zh-CN"/>
              </w:rPr>
            </w:pPr>
            <w:r>
              <w:rPr>
                <w:rFonts w:ascii="宋体" w:eastAsia="宋体" w:hAnsi="宋体" w:cs="宋体" w:hint="eastAsia"/>
                <w:kern w:val="0"/>
                <w:szCs w:val="21"/>
              </w:rPr>
              <w:t>1</w:t>
            </w:r>
            <w:r>
              <w:rPr>
                <w:rFonts w:ascii="宋体" w:eastAsia="宋体" w:hAnsi="宋体" w:cs="宋体" w:hint="eastAsia"/>
                <w:kern w:val="0"/>
                <w:szCs w:val="21"/>
                <w:lang w:val="en-US" w:eastAsia="zh-CN"/>
              </w:rPr>
              <w:t>6</w:t>
            </w:r>
          </w:p>
        </w:tc>
        <w:tc>
          <w:tcPr>
            <w:tcW w:w="6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r>
              <w:rPr>
                <w:rFonts w:ascii="宋体" w:eastAsia="宋体" w:hAnsi="宋体" w:cs="宋体" w:hint="eastAsia"/>
                <w:b/>
                <w:kern w:val="0"/>
                <w:szCs w:val="21"/>
              </w:rPr>
              <w:t>通信及反馈</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保障通信畅通，接受任务后需在规定时间将任务进展反馈至</w:t>
            </w:r>
            <w:r>
              <w:rPr>
                <w:rFonts w:ascii="宋体" w:hAnsi="宋体" w:cs="宋体" w:hint="eastAsia"/>
                <w:kern w:val="0"/>
                <w:szCs w:val="21"/>
                <w:lang w:val="en-US" w:eastAsia="zh-CN"/>
              </w:rPr>
              <w:t>甲方</w:t>
            </w:r>
            <w:r>
              <w:rPr>
                <w:rFonts w:ascii="宋体" w:eastAsia="宋体" w:hAnsi="宋体" w:cs="宋体" w:hint="eastAsia"/>
                <w:kern w:val="0"/>
                <w:szCs w:val="21"/>
              </w:rPr>
              <w:t>指定人员。</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未反馈造成信息通报不及时或影响抢修的，每次扣0.5分。</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lang w:eastAsia="zh-CN"/>
              </w:rPr>
            </w:pPr>
            <w:r>
              <w:rPr>
                <w:rFonts w:ascii="宋体" w:eastAsia="宋体" w:hAnsi="宋体" w:cs="宋体" w:hint="eastAsia"/>
                <w:kern w:val="0"/>
                <w:szCs w:val="21"/>
              </w:rPr>
              <w:t>1</w:t>
            </w:r>
            <w:r>
              <w:rPr>
                <w:rFonts w:ascii="宋体" w:eastAsia="宋体" w:hAnsi="宋体" w:cs="宋体" w:hint="eastAsia"/>
                <w:kern w:val="0"/>
                <w:szCs w:val="21"/>
                <w:lang w:val="en-US" w:eastAsia="zh-CN"/>
              </w:rPr>
              <w:t>7</w:t>
            </w:r>
          </w:p>
        </w:tc>
        <w:tc>
          <w:tcPr>
            <w:tcW w:w="64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r>
              <w:rPr>
                <w:rFonts w:ascii="宋体" w:eastAsia="宋体" w:hAnsi="宋体" w:cs="宋体" w:hint="eastAsia"/>
                <w:b/>
                <w:kern w:val="0"/>
                <w:szCs w:val="21"/>
              </w:rPr>
              <w:t>临时工作安排</w:t>
            </w:r>
          </w:p>
        </w:tc>
        <w:tc>
          <w:tcPr>
            <w:tcW w:w="1882"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采购人安排的临时性工作完成情况</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未按照要求完成的，每次扣1分，</w:t>
            </w:r>
            <w:r>
              <w:rPr>
                <w:rFonts w:ascii="宋体" w:eastAsia="宋体" w:hAnsi="宋体" w:cs="宋体" w:hint="eastAsia"/>
                <w:b/>
                <w:kern w:val="0"/>
                <w:szCs w:val="21"/>
                <w:u w:val="single"/>
              </w:rPr>
              <w:t>扣3000元</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6777" w:type="dxa"/>
            <w:gridSpan w:val="5"/>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日常考核扣分扣款小计</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8860" w:type="dxa"/>
            <w:gridSpan w:val="8"/>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b/>
                <w:bCs/>
                <w:kern w:val="0"/>
                <w:szCs w:val="21"/>
              </w:rPr>
              <w:t>二、定期考核</w:t>
            </w:r>
          </w:p>
        </w:tc>
      </w:tr>
      <w:tr>
        <w:tblPrEx>
          <w:tblW w:w="8860" w:type="dxa"/>
          <w:tblInd w:w="0" w:type="dxa"/>
          <w:tblLayout w:type="fixed"/>
          <w:tblCellMar>
            <w:top w:w="0" w:type="dxa"/>
            <w:left w:w="0" w:type="dxa"/>
            <w:bottom w:w="0" w:type="dxa"/>
            <w:right w:w="0" w:type="dxa"/>
          </w:tblCellMar>
        </w:tblPrEx>
        <w:trPr>
          <w:trHeight w:val="283"/>
        </w:trPr>
        <w:tc>
          <w:tcPr>
            <w:tcW w:w="8860" w:type="dxa"/>
            <w:gridSpan w:val="8"/>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以每月为一周期由采购人各管理所组织定期集中考核，抽查设施量的5%数量的箱变及配电房，抽查3处继保装置，检查以下项目。</w:t>
            </w:r>
          </w:p>
        </w:tc>
      </w:tr>
      <w:tr>
        <w:tblPrEx>
          <w:tblW w:w="8860" w:type="dxa"/>
          <w:tblInd w:w="0" w:type="dxa"/>
          <w:tblLayout w:type="fixed"/>
          <w:tblCellMar>
            <w:top w:w="0" w:type="dxa"/>
            <w:left w:w="0" w:type="dxa"/>
            <w:bottom w:w="0" w:type="dxa"/>
            <w:right w:w="0" w:type="dxa"/>
          </w:tblCellMar>
        </w:tblPrEx>
        <w:trPr>
          <w:trHeight w:val="90"/>
        </w:trPr>
        <w:tc>
          <w:tcPr>
            <w:tcW w:w="4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序号</w:t>
            </w:r>
          </w:p>
        </w:tc>
        <w:tc>
          <w:tcPr>
            <w:tcW w:w="1460"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left"/>
              <w:textAlignment w:val="center"/>
              <w:rPr>
                <w:rFonts w:ascii="宋体" w:eastAsia="宋体" w:hAnsi="宋体" w:cs="宋体" w:hint="eastAsia"/>
                <w:szCs w:val="21"/>
              </w:rPr>
            </w:pPr>
            <w:r>
              <w:rPr>
                <w:rFonts w:ascii="宋体" w:eastAsia="宋体" w:hAnsi="宋体" w:cs="宋体" w:hint="eastAsia"/>
                <w:kern w:val="0"/>
                <w:szCs w:val="21"/>
              </w:rPr>
              <w:t>考核内容</w:t>
            </w:r>
          </w:p>
        </w:tc>
        <w:tc>
          <w:tcPr>
            <w:tcW w:w="106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left"/>
              <w:textAlignment w:val="center"/>
              <w:rPr>
                <w:rFonts w:ascii="宋体" w:eastAsia="宋体" w:hAnsi="宋体" w:cs="宋体" w:hint="eastAsia"/>
                <w:szCs w:val="21"/>
              </w:rPr>
            </w:pPr>
            <w:r>
              <w:rPr>
                <w:rFonts w:ascii="宋体" w:eastAsia="宋体" w:hAnsi="宋体" w:cs="宋体" w:hint="eastAsia"/>
                <w:kern w:val="0"/>
                <w:szCs w:val="21"/>
              </w:rPr>
              <w:t>考核项目</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考核标准</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left"/>
              <w:textAlignment w:val="center"/>
              <w:rPr>
                <w:rFonts w:ascii="宋体" w:eastAsia="宋体" w:hAnsi="宋体" w:cs="宋体" w:hint="eastAsia"/>
                <w:szCs w:val="21"/>
              </w:rPr>
            </w:pPr>
            <w:r>
              <w:rPr>
                <w:rFonts w:ascii="宋体" w:eastAsia="宋体" w:hAnsi="宋体" w:cs="宋体" w:hint="eastAsia"/>
                <w:kern w:val="0"/>
                <w:szCs w:val="21"/>
              </w:rPr>
              <w:t>考核扣分</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扣款</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备注</w:t>
            </w:r>
          </w:p>
        </w:tc>
      </w:tr>
      <w:tr>
        <w:tblPrEx>
          <w:tblW w:w="8860" w:type="dxa"/>
          <w:tblInd w:w="0" w:type="dxa"/>
          <w:tblLayout w:type="fixed"/>
          <w:tblCellMar>
            <w:top w:w="0" w:type="dxa"/>
            <w:left w:w="0" w:type="dxa"/>
            <w:bottom w:w="0" w:type="dxa"/>
            <w:right w:w="0" w:type="dxa"/>
          </w:tblCellMar>
        </w:tblPrEx>
        <w:trPr>
          <w:trHeight w:val="283"/>
        </w:trPr>
        <w:tc>
          <w:tcPr>
            <w:tcW w:w="400"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1</w:t>
            </w:r>
          </w:p>
        </w:tc>
        <w:tc>
          <w:tcPr>
            <w:tcW w:w="1460" w:type="dxa"/>
            <w:gridSpan w:val="2"/>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b/>
                <w:szCs w:val="21"/>
              </w:rPr>
            </w:pPr>
            <w:r>
              <w:rPr>
                <w:rFonts w:ascii="宋体" w:eastAsia="宋体" w:hAnsi="宋体" w:cs="宋体" w:hint="eastAsia"/>
                <w:b/>
                <w:kern w:val="0"/>
                <w:szCs w:val="21"/>
              </w:rPr>
              <w:t>巡查情况</w:t>
            </w:r>
          </w:p>
        </w:tc>
        <w:tc>
          <w:tcPr>
            <w:tcW w:w="106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left"/>
              <w:textAlignment w:val="center"/>
              <w:rPr>
                <w:rFonts w:ascii="宋体" w:eastAsia="宋体" w:hAnsi="宋体" w:cs="宋体" w:hint="eastAsia"/>
                <w:szCs w:val="21"/>
              </w:rPr>
            </w:pPr>
            <w:r>
              <w:rPr>
                <w:rFonts w:ascii="宋体" w:eastAsia="宋体" w:hAnsi="宋体" w:cs="宋体" w:hint="eastAsia"/>
                <w:kern w:val="0"/>
                <w:szCs w:val="21"/>
              </w:rPr>
              <w:t>每月对所有箱变、配电房进行巡查。</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left"/>
              <w:textAlignment w:val="center"/>
              <w:rPr>
                <w:rFonts w:ascii="宋体" w:eastAsia="宋体" w:hAnsi="宋体" w:cs="宋体" w:hint="eastAsia"/>
                <w:szCs w:val="21"/>
              </w:rPr>
            </w:pPr>
            <w:r>
              <w:rPr>
                <w:rFonts w:ascii="宋体" w:eastAsia="宋体" w:hAnsi="宋体" w:cs="宋体" w:hint="eastAsia"/>
                <w:kern w:val="0"/>
                <w:szCs w:val="21"/>
              </w:rPr>
              <w:t>建立巡查签到表及精细化管理系统上报制度，对所有设施的巡查需签到并记录巡查情况。设施巡查签到表无记录或存在明显造假的情况，每次扣0.2分，</w:t>
            </w:r>
            <w:r>
              <w:rPr>
                <w:rFonts w:ascii="宋体" w:eastAsia="宋体" w:hAnsi="宋体" w:cs="宋体" w:hint="eastAsia"/>
                <w:b/>
                <w:kern w:val="0"/>
                <w:szCs w:val="21"/>
                <w:u w:val="single"/>
              </w:rPr>
              <w:t>扣500元</w:t>
            </w:r>
            <w:r>
              <w:rPr>
                <w:rFonts w:ascii="宋体" w:eastAsia="宋体" w:hAnsi="宋体" w:cs="宋体" w:hint="eastAsia"/>
                <w:kern w:val="0"/>
                <w:szCs w:val="21"/>
              </w:rPr>
              <w:t>。</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left"/>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left"/>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2</w:t>
            </w:r>
          </w:p>
        </w:tc>
        <w:tc>
          <w:tcPr>
            <w:tcW w:w="1460" w:type="dxa"/>
            <w:gridSpan w:val="2"/>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b/>
                <w:kern w:val="0"/>
                <w:szCs w:val="21"/>
              </w:rPr>
              <w:t>箱变外观、环境、配电设施完好情况</w:t>
            </w:r>
            <w:r>
              <w:rPr>
                <w:rFonts w:ascii="宋体" w:eastAsia="宋体" w:hAnsi="宋体" w:cs="宋体" w:hint="eastAsia"/>
                <w:kern w:val="0"/>
                <w:szCs w:val="21"/>
              </w:rPr>
              <w:t>（发现因维护单位工作不到位造成以下项目未达标，或存在问题维护单位未及时发现上报处理的，每处扣0.1分）</w:t>
            </w:r>
          </w:p>
        </w:tc>
        <w:tc>
          <w:tcPr>
            <w:tcW w:w="1062"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环境卫生</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设施周边环境良好</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箱内无明显积尘</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无树枝、蔓藤植物接近带电体等</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围栏和标识</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围栏完好</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警示标识正确清晰</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防盗情况</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锁具完好</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防盗设施完好</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照明</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照明正常</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消防</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防（灭）火设施完好</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开关柜状态</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开关柜上铭牌清晰</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分合闸位置指示正常</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开关编号标志正确</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带电指示器正常工作</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外露触电检视正常</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接地检查</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箱变接地正常</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90"/>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冷却器检查</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冷却系统的风扇运行正常</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出风口和散热器应无异物附着或严重积污</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3</w:t>
            </w:r>
          </w:p>
        </w:tc>
        <w:tc>
          <w:tcPr>
            <w:tcW w:w="1460" w:type="dxa"/>
            <w:gridSpan w:val="2"/>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b/>
                <w:kern w:val="0"/>
                <w:szCs w:val="21"/>
              </w:rPr>
              <w:t>继保装置巡查情况考核</w:t>
            </w:r>
            <w:r>
              <w:rPr>
                <w:rFonts w:ascii="宋体" w:eastAsia="宋体" w:hAnsi="宋体" w:cs="宋体" w:hint="eastAsia"/>
                <w:kern w:val="0"/>
                <w:szCs w:val="21"/>
              </w:rPr>
              <w:t>（发现因维护单位工作不到位造成以下项目未达标，或存在问题维护单位未及时发现上报处理的，每处扣0.1分）</w:t>
            </w:r>
          </w:p>
        </w:tc>
        <w:tc>
          <w:tcPr>
            <w:tcW w:w="1062"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外观检查</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保护箱内无烧伤痕迹、无积尘</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标识正确</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端子连接良好</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螺丝没有氧化锈蚀等情况</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各孔洞封堵密封良好</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状态检查</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检查压板投退正确</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切换开关（切换开关为“远方”）位置正确</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电源回路检查</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直流电源空开正常位置</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PT电压空开正常位置</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交流电源工作正常</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直流电源工作正常</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val="restart"/>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装置信息检查</w:t>
            </w: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保护动作信号正常</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弹簧未储能信号正常</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400"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460" w:type="dxa"/>
            <w:gridSpan w:val="2"/>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1062" w:type="dxa"/>
            <w:vMerge/>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rPr>
                <w:rFonts w:ascii="宋体" w:eastAsia="宋体" w:hAnsi="宋体" w:cs="宋体" w:hint="eastAsia"/>
                <w:szCs w:val="21"/>
              </w:rPr>
            </w:pPr>
          </w:p>
        </w:tc>
        <w:tc>
          <w:tcPr>
            <w:tcW w:w="385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电池欠压信号正常</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6777" w:type="dxa"/>
            <w:gridSpan w:val="5"/>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定期考核扣分扣款小计</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6777" w:type="dxa"/>
            <w:gridSpan w:val="5"/>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考核扣分扣款总计（日常考核扣分小计+定期考核扣分小计）</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4"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textAlignment w:val="center"/>
              <w:rPr>
                <w:rFonts w:ascii="宋体" w:eastAsia="宋体" w:hAnsi="宋体" w:cs="宋体" w:hint="eastAsia"/>
                <w:szCs w:val="21"/>
              </w:rPr>
            </w:pPr>
            <w:r>
              <w:rPr>
                <w:rFonts w:ascii="宋体" w:eastAsia="宋体" w:hAnsi="宋体" w:cs="宋体" w:hint="eastAsia"/>
                <w:kern w:val="0"/>
                <w:szCs w:val="21"/>
              </w:rPr>
              <w:t>　</w:t>
            </w:r>
          </w:p>
        </w:tc>
        <w:tc>
          <w:tcPr>
            <w:tcW w:w="695" w:type="dxa"/>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center"/>
              <w:textAlignment w:val="center"/>
              <w:rPr>
                <w:rFonts w:ascii="宋体" w:eastAsia="宋体" w:hAnsi="宋体" w:cs="宋体" w:hint="eastAsia"/>
                <w:szCs w:val="21"/>
              </w:rPr>
            </w:pPr>
            <w:r>
              <w:rPr>
                <w:rFonts w:ascii="宋体" w:eastAsia="宋体" w:hAnsi="宋体" w:cs="宋体" w:hint="eastAsia"/>
                <w:kern w:val="0"/>
                <w:szCs w:val="21"/>
              </w:rPr>
              <w:t>　</w:t>
            </w:r>
          </w:p>
        </w:tc>
      </w:tr>
      <w:tr>
        <w:tblPrEx>
          <w:tblW w:w="8860" w:type="dxa"/>
          <w:tblInd w:w="0" w:type="dxa"/>
          <w:tblLayout w:type="fixed"/>
          <w:tblCellMar>
            <w:top w:w="0" w:type="dxa"/>
            <w:left w:w="0" w:type="dxa"/>
            <w:bottom w:w="0" w:type="dxa"/>
            <w:right w:w="0" w:type="dxa"/>
          </w:tblCellMar>
        </w:tblPrEx>
        <w:trPr>
          <w:trHeight w:val="283"/>
        </w:trPr>
        <w:tc>
          <w:tcPr>
            <w:tcW w:w="8860" w:type="dxa"/>
            <w:gridSpan w:val="8"/>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left"/>
              <w:textAlignment w:val="center"/>
              <w:rPr>
                <w:rFonts w:ascii="宋体" w:eastAsia="宋体" w:hAnsi="宋体" w:cs="宋体" w:hint="eastAsia"/>
                <w:szCs w:val="21"/>
              </w:rPr>
            </w:pPr>
            <w:r>
              <w:rPr>
                <w:rFonts w:ascii="宋体" w:eastAsia="宋体" w:hAnsi="宋体" w:cs="宋体" w:hint="eastAsia"/>
                <w:kern w:val="0"/>
                <w:szCs w:val="21"/>
              </w:rPr>
              <w:t xml:space="preserve">考核组长（签名）：           考核成员（签名）：  </w:t>
            </w:r>
          </w:p>
        </w:tc>
      </w:tr>
      <w:tr>
        <w:tblPrEx>
          <w:tblW w:w="8860" w:type="dxa"/>
          <w:tblInd w:w="0" w:type="dxa"/>
          <w:tblLayout w:type="fixed"/>
          <w:tblCellMar>
            <w:top w:w="0" w:type="dxa"/>
            <w:left w:w="0" w:type="dxa"/>
            <w:bottom w:w="0" w:type="dxa"/>
            <w:right w:w="0" w:type="dxa"/>
          </w:tblCellMar>
        </w:tblPrEx>
        <w:trPr>
          <w:trHeight w:val="283"/>
        </w:trPr>
        <w:tc>
          <w:tcPr>
            <w:tcW w:w="8860" w:type="dxa"/>
            <w:gridSpan w:val="8"/>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left"/>
              <w:textAlignment w:val="center"/>
              <w:rPr>
                <w:rFonts w:ascii="宋体" w:eastAsia="宋体" w:hAnsi="宋体" w:cs="宋体" w:hint="eastAsia"/>
                <w:szCs w:val="21"/>
              </w:rPr>
            </w:pPr>
            <w:r>
              <w:rPr>
                <w:rFonts w:ascii="宋体" w:eastAsia="宋体" w:hAnsi="宋体" w:cs="宋体" w:hint="eastAsia"/>
                <w:kern w:val="0"/>
                <w:szCs w:val="21"/>
              </w:rPr>
              <w:t>管理所（盖章）：</w:t>
            </w:r>
          </w:p>
        </w:tc>
      </w:tr>
      <w:tr>
        <w:tblPrEx>
          <w:tblW w:w="8860" w:type="dxa"/>
          <w:tblInd w:w="0" w:type="dxa"/>
          <w:tblLayout w:type="fixed"/>
          <w:tblCellMar>
            <w:top w:w="0" w:type="dxa"/>
            <w:left w:w="0" w:type="dxa"/>
            <w:bottom w:w="0" w:type="dxa"/>
            <w:right w:w="0" w:type="dxa"/>
          </w:tblCellMar>
        </w:tblPrEx>
        <w:trPr>
          <w:trHeight w:val="283"/>
        </w:trPr>
        <w:tc>
          <w:tcPr>
            <w:tcW w:w="8860" w:type="dxa"/>
            <w:gridSpan w:val="8"/>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right"/>
              <w:textAlignment w:val="center"/>
              <w:rPr>
                <w:rFonts w:ascii="宋体" w:eastAsia="宋体" w:hAnsi="宋体" w:cs="宋体" w:hint="eastAsia"/>
                <w:szCs w:val="21"/>
              </w:rPr>
            </w:pPr>
            <w:r>
              <w:rPr>
                <w:rFonts w:ascii="宋体" w:eastAsia="宋体" w:hAnsi="宋体" w:cs="宋体" w:hint="eastAsia"/>
                <w:kern w:val="0"/>
                <w:szCs w:val="21"/>
              </w:rPr>
              <w:t>日  期：    年   月   日</w:t>
            </w:r>
          </w:p>
        </w:tc>
      </w:tr>
      <w:tr>
        <w:tblPrEx>
          <w:tblW w:w="8860" w:type="dxa"/>
          <w:tblInd w:w="0" w:type="dxa"/>
          <w:tblLayout w:type="fixed"/>
          <w:tblCellMar>
            <w:top w:w="0" w:type="dxa"/>
            <w:left w:w="0" w:type="dxa"/>
            <w:bottom w:w="0" w:type="dxa"/>
            <w:right w:w="0" w:type="dxa"/>
          </w:tblCellMar>
        </w:tblPrEx>
        <w:trPr>
          <w:trHeight w:val="283"/>
        </w:trPr>
        <w:tc>
          <w:tcPr>
            <w:tcW w:w="8860" w:type="dxa"/>
            <w:gridSpan w:val="8"/>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left"/>
              <w:textAlignment w:val="center"/>
              <w:rPr>
                <w:rFonts w:ascii="宋体" w:eastAsia="宋体" w:hAnsi="宋体" w:cs="宋体" w:hint="eastAsia"/>
                <w:szCs w:val="21"/>
              </w:rPr>
            </w:pPr>
            <w:r>
              <w:rPr>
                <w:rFonts w:ascii="宋体" w:eastAsia="宋体" w:hAnsi="宋体" w:cs="宋体" w:hint="eastAsia"/>
                <w:kern w:val="0"/>
                <w:szCs w:val="21"/>
              </w:rPr>
              <w:t>维护单位项目经理（签名）：</w:t>
            </w:r>
          </w:p>
        </w:tc>
      </w:tr>
      <w:tr>
        <w:tblPrEx>
          <w:tblW w:w="8860" w:type="dxa"/>
          <w:tblInd w:w="0" w:type="dxa"/>
          <w:tblLayout w:type="fixed"/>
          <w:tblCellMar>
            <w:top w:w="0" w:type="dxa"/>
            <w:left w:w="0" w:type="dxa"/>
            <w:bottom w:w="0" w:type="dxa"/>
            <w:right w:w="0" w:type="dxa"/>
          </w:tblCellMar>
        </w:tblPrEx>
        <w:trPr>
          <w:trHeight w:val="283"/>
        </w:trPr>
        <w:tc>
          <w:tcPr>
            <w:tcW w:w="8860" w:type="dxa"/>
            <w:gridSpan w:val="8"/>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left"/>
              <w:textAlignment w:val="center"/>
              <w:rPr>
                <w:rFonts w:ascii="宋体" w:eastAsia="宋体" w:hAnsi="宋体" w:cs="宋体" w:hint="eastAsia"/>
                <w:szCs w:val="21"/>
              </w:rPr>
            </w:pPr>
            <w:r>
              <w:rPr>
                <w:rFonts w:ascii="宋体" w:eastAsia="宋体" w:hAnsi="宋体" w:cs="宋体" w:hint="eastAsia"/>
                <w:kern w:val="0"/>
                <w:szCs w:val="21"/>
              </w:rPr>
              <w:t>维护单位（盖章）：</w:t>
            </w:r>
          </w:p>
        </w:tc>
      </w:tr>
      <w:tr>
        <w:tblPrEx>
          <w:tblW w:w="8860" w:type="dxa"/>
          <w:tblInd w:w="0" w:type="dxa"/>
          <w:tblLayout w:type="fixed"/>
          <w:tblCellMar>
            <w:top w:w="0" w:type="dxa"/>
            <w:left w:w="0" w:type="dxa"/>
            <w:bottom w:w="0" w:type="dxa"/>
            <w:right w:w="0" w:type="dxa"/>
          </w:tblCellMar>
        </w:tblPrEx>
        <w:trPr>
          <w:trHeight w:val="283"/>
        </w:trPr>
        <w:tc>
          <w:tcPr>
            <w:tcW w:w="8860" w:type="dxa"/>
            <w:gridSpan w:val="8"/>
            <w:tcBorders>
              <w:tl2br w:val="nil"/>
              <w:tr2bl w:val="nil"/>
            </w:tcBorders>
            <w:tcMar>
              <w:top w:w="15" w:type="dxa"/>
              <w:left w:w="15" w:type="dxa"/>
              <w:right w:w="15" w:type="dxa"/>
            </w:tcMar>
            <w:vAlign w:val="center"/>
          </w:tcPr>
          <w:p>
            <w:pPr>
              <w:keepNext w:val="0"/>
              <w:keepLines w:val="0"/>
              <w:pageBreakBefore w:val="0"/>
              <w:widowControl w:val="0"/>
              <w:kinsoku/>
              <w:wordWrap/>
              <w:overflowPunct/>
              <w:topLinePunct w:val="0"/>
              <w:bidi w:val="0"/>
              <w:snapToGrid/>
              <w:spacing w:line="360" w:lineRule="auto"/>
              <w:jc w:val="right"/>
              <w:textAlignment w:val="center"/>
              <w:rPr>
                <w:rFonts w:ascii="宋体" w:eastAsia="宋体" w:hAnsi="宋体" w:cs="宋体" w:hint="eastAsia"/>
                <w:szCs w:val="21"/>
              </w:rPr>
            </w:pPr>
            <w:r>
              <w:rPr>
                <w:rFonts w:ascii="宋体" w:eastAsia="宋体" w:hAnsi="宋体" w:cs="宋体" w:hint="eastAsia"/>
                <w:kern w:val="0"/>
                <w:szCs w:val="21"/>
              </w:rPr>
              <w:t>日  期：    年   月   日</w:t>
            </w:r>
          </w:p>
        </w:tc>
      </w:tr>
    </w:tbl>
    <w:p>
      <w:pPr>
        <w:keepNext w:val="0"/>
        <w:keepLines w:val="0"/>
        <w:pageBreakBefore w:val="0"/>
        <w:widowControl w:val="0"/>
        <w:kinsoku/>
        <w:wordWrap/>
        <w:overflowPunct/>
        <w:topLinePunct w:val="0"/>
        <w:autoSpaceDE/>
        <w:autoSpaceDN/>
        <w:bidi w:val="0"/>
        <w:adjustRightInd/>
        <w:snapToGrid/>
        <w:spacing w:before="0" w:after="0" w:line="360" w:lineRule="auto"/>
        <w:ind w:firstLine="420" w:firstLineChars="200"/>
        <w:jc w:val="both"/>
        <w:textAlignment w:val="auto"/>
        <w:rPr>
          <w:rFonts w:ascii="宋体" w:eastAsia="宋体" w:hAnsi="宋体" w:cs="Times New Roman" w:hint="eastAsia"/>
          <w:b/>
          <w:spacing w:val="0"/>
          <w:kern w:val="2"/>
          <w:sz w:val="21"/>
          <w:szCs w:val="21"/>
          <w:lang w:val="en-US" w:eastAsia="zh-CN" w:bidi="ar-SA"/>
        </w:rPr>
      </w:pPr>
      <w:r>
        <w:rPr>
          <w:rFonts w:ascii="宋体" w:eastAsia="宋体" w:hAnsi="宋体" w:cs="Times New Roman" w:hint="eastAsia"/>
          <w:b/>
          <w:spacing w:val="0"/>
          <w:kern w:val="2"/>
          <w:sz w:val="21"/>
          <w:szCs w:val="21"/>
          <w:lang w:val="en-US" w:eastAsia="zh-CN" w:bidi="ar-SA"/>
        </w:rPr>
        <w:t>（五）双方的权利、义务及违约责任</w:t>
      </w:r>
    </w:p>
    <w:p>
      <w:pPr>
        <w:keepNext w:val="0"/>
        <w:keepLines w:val="0"/>
        <w:pageBreakBefore w:val="0"/>
        <w:widowControl w:val="0"/>
        <w:kinsoku/>
        <w:wordWrap/>
        <w:overflowPunct/>
        <w:topLinePunct w:val="0"/>
        <w:autoSpaceDE/>
        <w:autoSpaceDN/>
        <w:bidi w:val="0"/>
        <w:adjustRightInd/>
        <w:snapToGrid/>
        <w:spacing w:before="0" w:after="0" w:line="360" w:lineRule="auto"/>
        <w:ind w:firstLine="420" w:firstLineChars="200"/>
        <w:jc w:val="both"/>
        <w:textAlignment w:val="auto"/>
        <w:rPr>
          <w:rFonts w:ascii="宋体" w:eastAsia="宋体" w:hAnsi="宋体" w:cs="Times New Roman" w:hint="eastAsia"/>
          <w:b/>
          <w:spacing w:val="0"/>
          <w:kern w:val="2"/>
          <w:sz w:val="21"/>
          <w:szCs w:val="21"/>
          <w:lang w:val="en-US" w:eastAsia="zh-CN" w:bidi="ar-SA"/>
        </w:rPr>
      </w:pPr>
      <w:r>
        <w:rPr>
          <w:rFonts w:ascii="宋体" w:eastAsia="宋体" w:hAnsi="宋体" w:cs="Times New Roman" w:hint="eastAsia"/>
          <w:b/>
          <w:spacing w:val="0"/>
          <w:kern w:val="2"/>
          <w:sz w:val="21"/>
          <w:szCs w:val="21"/>
          <w:lang w:val="en-US" w:eastAsia="zh-CN" w:bidi="ar-SA"/>
        </w:rPr>
        <w:t>1.采购方的权利和义务</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eastAsia="zh-CN"/>
        </w:rPr>
        <w:t>（</w:t>
      </w:r>
      <w:r>
        <w:rPr>
          <w:rFonts w:ascii="宋体" w:hAnsi="宋体" w:hint="eastAsia"/>
          <w:snapToGrid w:val="0"/>
          <w:kern w:val="0"/>
          <w:szCs w:val="21"/>
          <w:lang w:val="en-US" w:eastAsia="zh-CN"/>
        </w:rPr>
        <w:t>1</w:t>
      </w:r>
      <w:r>
        <w:rPr>
          <w:rFonts w:ascii="宋体" w:hAnsi="宋体" w:hint="eastAsia"/>
          <w:snapToGrid w:val="0"/>
          <w:kern w:val="0"/>
          <w:szCs w:val="21"/>
          <w:lang w:eastAsia="zh-CN"/>
        </w:rPr>
        <w:t>）</w:t>
      </w:r>
      <w:r>
        <w:rPr>
          <w:rFonts w:ascii="宋体" w:hAnsi="宋体" w:hint="eastAsia"/>
          <w:snapToGrid w:val="0"/>
          <w:kern w:val="0"/>
          <w:szCs w:val="21"/>
        </w:rPr>
        <w:t>负责维护计划编制，审批</w:t>
      </w:r>
      <w:r>
        <w:rPr>
          <w:rFonts w:ascii="宋体" w:hAnsi="宋体" w:hint="eastAsia"/>
          <w:bCs/>
          <w:snapToGrid w:val="0"/>
          <w:kern w:val="0"/>
          <w:szCs w:val="21"/>
        </w:rPr>
        <w:t>中标方提交的养护</w:t>
      </w:r>
      <w:r>
        <w:rPr>
          <w:rFonts w:ascii="宋体" w:hAnsi="宋体" w:hint="eastAsia"/>
          <w:snapToGrid w:val="0"/>
          <w:kern w:val="0"/>
          <w:szCs w:val="21"/>
        </w:rPr>
        <w:t>方案；</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val="en-US" w:eastAsia="zh-CN"/>
        </w:rPr>
        <w:t>（2）</w:t>
      </w:r>
      <w:r>
        <w:rPr>
          <w:rFonts w:ascii="宋体" w:hAnsi="宋体" w:hint="eastAsia"/>
          <w:snapToGrid w:val="0"/>
          <w:kern w:val="0"/>
          <w:szCs w:val="21"/>
        </w:rPr>
        <w:t>向中标方明确技术要求，按时提供已有技术资料；</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val="en-US" w:eastAsia="zh-CN"/>
        </w:rPr>
        <w:t>（3）</w:t>
      </w:r>
      <w:r>
        <w:rPr>
          <w:rFonts w:ascii="宋体" w:hAnsi="宋体" w:hint="eastAsia"/>
          <w:snapToGrid w:val="0"/>
          <w:kern w:val="0"/>
          <w:szCs w:val="21"/>
        </w:rPr>
        <w:t>审阅</w:t>
      </w:r>
      <w:r>
        <w:rPr>
          <w:rFonts w:ascii="宋体" w:hAnsi="宋体" w:hint="eastAsia"/>
          <w:bCs/>
          <w:snapToGrid w:val="0"/>
          <w:kern w:val="0"/>
          <w:szCs w:val="21"/>
        </w:rPr>
        <w:t>中标方提交的养护</w:t>
      </w:r>
      <w:r>
        <w:rPr>
          <w:rFonts w:ascii="宋体" w:hAnsi="宋体" w:hint="eastAsia"/>
          <w:snapToGrid w:val="0"/>
          <w:kern w:val="0"/>
          <w:szCs w:val="21"/>
        </w:rPr>
        <w:t>记录，提出整改意见；</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val="en-US" w:eastAsia="zh-CN"/>
        </w:rPr>
        <w:t>（4）</w:t>
      </w:r>
      <w:r>
        <w:rPr>
          <w:rFonts w:ascii="宋体" w:hAnsi="宋体" w:hint="eastAsia"/>
          <w:snapToGrid w:val="0"/>
          <w:kern w:val="0"/>
          <w:szCs w:val="21"/>
        </w:rPr>
        <w:t>监督、指导中标方服务行为并及时纠正发现的问题；</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snapToGrid w:val="0"/>
          <w:kern w:val="0"/>
          <w:szCs w:val="21"/>
        </w:rPr>
      </w:pPr>
      <w:r>
        <w:rPr>
          <w:rFonts w:ascii="宋体" w:hAnsi="宋体" w:hint="eastAsia"/>
          <w:snapToGrid w:val="0"/>
          <w:kern w:val="0"/>
          <w:szCs w:val="21"/>
          <w:lang w:val="en-US" w:eastAsia="zh-CN"/>
        </w:rPr>
        <w:t>（5）</w:t>
      </w:r>
      <w:r>
        <w:rPr>
          <w:rFonts w:ascii="宋体" w:hAnsi="宋体" w:hint="eastAsia"/>
          <w:snapToGrid w:val="0"/>
          <w:kern w:val="0"/>
          <w:szCs w:val="21"/>
        </w:rPr>
        <w:t>协调日常工作中有关的内外关系；</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eastAsia="zh-CN"/>
        </w:rPr>
        <w:t>（</w:t>
      </w:r>
      <w:r>
        <w:rPr>
          <w:rFonts w:ascii="宋体" w:hAnsi="宋体" w:hint="eastAsia"/>
          <w:snapToGrid w:val="0"/>
          <w:kern w:val="0"/>
          <w:szCs w:val="21"/>
          <w:lang w:val="en-US" w:eastAsia="zh-CN"/>
        </w:rPr>
        <w:t>6</w:t>
      </w:r>
      <w:r>
        <w:rPr>
          <w:rFonts w:ascii="宋体" w:hAnsi="宋体" w:hint="eastAsia"/>
          <w:snapToGrid w:val="0"/>
          <w:kern w:val="0"/>
          <w:szCs w:val="21"/>
          <w:lang w:eastAsia="zh-CN"/>
        </w:rPr>
        <w:t>）</w:t>
      </w:r>
      <w:r>
        <w:rPr>
          <w:rFonts w:ascii="宋体" w:hAnsi="宋体" w:hint="eastAsia"/>
          <w:snapToGrid w:val="0"/>
          <w:kern w:val="0"/>
          <w:szCs w:val="21"/>
        </w:rPr>
        <w:t>协助中标方办理维护车辆作业证；</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val="en-US" w:eastAsia="zh-CN"/>
        </w:rPr>
        <w:t>（7）</w:t>
      </w:r>
      <w:r>
        <w:rPr>
          <w:rFonts w:ascii="宋体" w:hAnsi="宋体" w:hint="eastAsia"/>
          <w:snapToGrid w:val="0"/>
          <w:kern w:val="0"/>
          <w:szCs w:val="21"/>
        </w:rPr>
        <w:t>根据《考核评分标准》的要求对中标方进行考核，并按《考核办法》的相应条款扣减中标方的</w:t>
      </w:r>
      <w:r>
        <w:rPr>
          <w:rFonts w:ascii="宋体" w:hAnsi="宋体" w:hint="eastAsia"/>
          <w:bCs/>
          <w:snapToGrid w:val="0"/>
          <w:kern w:val="0"/>
          <w:szCs w:val="21"/>
        </w:rPr>
        <w:t>养护</w:t>
      </w:r>
      <w:r>
        <w:rPr>
          <w:rFonts w:ascii="宋体" w:hAnsi="宋体" w:hint="eastAsia"/>
          <w:snapToGrid w:val="0"/>
          <w:kern w:val="0"/>
          <w:szCs w:val="21"/>
        </w:rPr>
        <w:t>费用；</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val="en-US" w:eastAsia="zh-CN"/>
        </w:rPr>
        <w:t>（8）</w:t>
      </w:r>
      <w:r>
        <w:rPr>
          <w:rFonts w:ascii="宋体" w:hAnsi="宋体" w:hint="eastAsia"/>
          <w:snapToGrid w:val="0"/>
          <w:kern w:val="0"/>
          <w:szCs w:val="21"/>
        </w:rPr>
        <w:t>按招标文件、合同和监管办法审核和按时支付养护费用；</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snapToGrid w:val="0"/>
          <w:kern w:val="0"/>
          <w:szCs w:val="21"/>
        </w:rPr>
      </w:pPr>
      <w:r>
        <w:rPr>
          <w:rFonts w:ascii="宋体" w:hAnsi="宋体" w:hint="eastAsia"/>
          <w:snapToGrid w:val="0"/>
          <w:kern w:val="0"/>
          <w:szCs w:val="21"/>
          <w:lang w:val="en-US" w:eastAsia="zh-CN"/>
        </w:rPr>
        <w:t>（9）</w:t>
      </w:r>
      <w:r>
        <w:rPr>
          <w:rFonts w:ascii="宋体" w:hAnsi="宋体" w:hint="eastAsia"/>
          <w:snapToGrid w:val="0"/>
          <w:kern w:val="0"/>
          <w:szCs w:val="21"/>
        </w:rPr>
        <w:t>如中标方出现重大失误或严重违约取消中标方养护资格，解除合同。</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val="en-US" w:eastAsia="zh-CN"/>
        </w:rPr>
        <w:t>（10）</w:t>
      </w:r>
      <w:r>
        <w:rPr>
          <w:rFonts w:ascii="宋体" w:hAnsi="宋体" w:hint="eastAsia"/>
          <w:snapToGrid w:val="0"/>
          <w:kern w:val="0"/>
          <w:szCs w:val="21"/>
        </w:rPr>
        <w:t>在维护合同期内，</w:t>
      </w:r>
      <w:r>
        <w:rPr>
          <w:rFonts w:ascii="宋体" w:hAnsi="宋体" w:hint="eastAsia"/>
          <w:snapToGrid w:val="0"/>
          <w:kern w:val="0"/>
          <w:szCs w:val="21"/>
          <w:lang w:eastAsia="zh-CN"/>
        </w:rPr>
        <w:t>采购方</w:t>
      </w:r>
      <w:r>
        <w:rPr>
          <w:rFonts w:ascii="宋体" w:hAnsi="宋体" w:hint="eastAsia"/>
          <w:snapToGrid w:val="0"/>
          <w:kern w:val="0"/>
          <w:szCs w:val="21"/>
        </w:rPr>
        <w:t>有权根据情况对考核办法、服务内容作出相应调整，且不增加费用，中标方需无条件接受。</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b/>
          <w:snapToGrid w:val="0"/>
          <w:kern w:val="0"/>
          <w:szCs w:val="21"/>
          <w:lang w:val="en-US" w:eastAsia="zh-CN"/>
        </w:rPr>
        <w:t>2.</w:t>
      </w:r>
      <w:r>
        <w:rPr>
          <w:rFonts w:ascii="宋体" w:hAnsi="宋体" w:hint="eastAsia"/>
          <w:b/>
          <w:snapToGrid w:val="0"/>
          <w:kern w:val="0"/>
          <w:szCs w:val="21"/>
        </w:rPr>
        <w:t>中标方权利和义务</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eastAsia="zh-CN"/>
        </w:rPr>
        <w:t>（</w:t>
      </w:r>
      <w:r>
        <w:rPr>
          <w:rFonts w:ascii="宋体" w:hAnsi="宋体" w:hint="eastAsia"/>
          <w:snapToGrid w:val="0"/>
          <w:kern w:val="0"/>
          <w:szCs w:val="21"/>
          <w:lang w:val="en-US" w:eastAsia="zh-CN"/>
        </w:rPr>
        <w:t>1</w:t>
      </w:r>
      <w:r>
        <w:rPr>
          <w:rFonts w:ascii="宋体" w:hAnsi="宋体" w:hint="eastAsia"/>
          <w:snapToGrid w:val="0"/>
          <w:kern w:val="0"/>
          <w:szCs w:val="21"/>
          <w:lang w:eastAsia="zh-CN"/>
        </w:rPr>
        <w:t>）</w:t>
      </w:r>
      <w:r>
        <w:rPr>
          <w:rFonts w:ascii="宋体" w:hAnsi="宋体" w:hint="eastAsia"/>
          <w:snapToGrid w:val="0"/>
          <w:kern w:val="0"/>
          <w:szCs w:val="21"/>
        </w:rPr>
        <w:t>负责编制</w:t>
      </w:r>
      <w:r>
        <w:rPr>
          <w:rFonts w:ascii="宋体" w:hAnsi="宋体" w:cs="宋体" w:hint="eastAsia"/>
          <w:snapToGrid w:val="0"/>
          <w:kern w:val="0"/>
          <w:szCs w:val="21"/>
        </w:rPr>
        <w:t>养护</w:t>
      </w:r>
      <w:r>
        <w:rPr>
          <w:rFonts w:ascii="宋体" w:hAnsi="宋体" w:hint="eastAsia"/>
          <w:snapToGrid w:val="0"/>
          <w:kern w:val="0"/>
          <w:szCs w:val="21"/>
        </w:rPr>
        <w:t>工作的实施方案，按经审核的方案执行养护设备的日常维修、调试及保护工作；</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val="en-US" w:eastAsia="zh-CN"/>
        </w:rPr>
        <w:t>（2）</w:t>
      </w:r>
      <w:r>
        <w:rPr>
          <w:rFonts w:ascii="宋体" w:hAnsi="宋体" w:hint="eastAsia"/>
          <w:snapToGrid w:val="0"/>
          <w:kern w:val="0"/>
          <w:szCs w:val="21"/>
        </w:rPr>
        <w:t>接受</w:t>
      </w:r>
      <w:r>
        <w:rPr>
          <w:rFonts w:ascii="宋体" w:hAnsi="宋体" w:hint="eastAsia"/>
          <w:snapToGrid w:val="0"/>
          <w:kern w:val="0"/>
          <w:szCs w:val="21"/>
          <w:lang w:eastAsia="zh-CN"/>
        </w:rPr>
        <w:t>采购方采购方</w:t>
      </w:r>
      <w:r>
        <w:rPr>
          <w:rFonts w:ascii="宋体" w:hAnsi="宋体" w:hint="eastAsia"/>
          <w:snapToGrid w:val="0"/>
          <w:kern w:val="0"/>
          <w:szCs w:val="21"/>
        </w:rPr>
        <w:t>的监督、管理、指导，发现问题及时处理并向</w:t>
      </w:r>
      <w:r>
        <w:rPr>
          <w:rFonts w:ascii="宋体" w:hAnsi="宋体" w:hint="eastAsia"/>
          <w:snapToGrid w:val="0"/>
          <w:kern w:val="0"/>
          <w:szCs w:val="21"/>
          <w:lang w:eastAsia="zh-CN"/>
        </w:rPr>
        <w:t>采购方</w:t>
      </w:r>
      <w:r>
        <w:rPr>
          <w:rFonts w:ascii="宋体" w:hAnsi="宋体" w:hint="eastAsia"/>
          <w:snapToGrid w:val="0"/>
          <w:kern w:val="0"/>
          <w:szCs w:val="21"/>
        </w:rPr>
        <w:t>报告；</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val="en-US" w:eastAsia="zh-CN"/>
        </w:rPr>
        <w:t>（3）</w:t>
      </w:r>
      <w:r>
        <w:rPr>
          <w:rFonts w:ascii="宋体" w:hAnsi="宋体" w:hint="eastAsia"/>
          <w:snapToGrid w:val="0"/>
          <w:kern w:val="0"/>
          <w:szCs w:val="21"/>
        </w:rPr>
        <w:t>按招标文件、合同和监管办法按时获取养护费用；</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val="en-US" w:eastAsia="zh-CN"/>
        </w:rPr>
        <w:t>（4）</w:t>
      </w:r>
      <w:r>
        <w:rPr>
          <w:rFonts w:ascii="宋体" w:hAnsi="宋体" w:hint="eastAsia"/>
          <w:snapToGrid w:val="0"/>
          <w:kern w:val="0"/>
          <w:szCs w:val="21"/>
        </w:rPr>
        <w:t>及时接收和响应</w:t>
      </w:r>
      <w:r>
        <w:rPr>
          <w:rFonts w:ascii="宋体" w:eastAsia="宋体" w:hAnsi="宋体" w:cs="宋体" w:hint="eastAsia"/>
          <w:sz w:val="21"/>
          <w:szCs w:val="21"/>
          <w:lang w:val="en-US" w:eastAsia="zh-CN"/>
        </w:rPr>
        <w:t>数字</w:t>
      </w:r>
      <w:r>
        <w:rPr>
          <w:rFonts w:ascii="宋体" w:eastAsia="宋体" w:hAnsi="宋体" w:cs="宋体" w:hint="eastAsia"/>
          <w:sz w:val="21"/>
          <w:szCs w:val="21"/>
        </w:rPr>
        <w:t>城管案件</w:t>
      </w:r>
      <w:r>
        <w:rPr>
          <w:rFonts w:ascii="宋体" w:hAnsi="宋体" w:hint="eastAsia"/>
          <w:snapToGrid w:val="0"/>
          <w:kern w:val="0"/>
          <w:szCs w:val="21"/>
        </w:rPr>
        <w:t>的投诉；</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val="en-US" w:eastAsia="zh-CN"/>
        </w:rPr>
        <w:t>（5）</w:t>
      </w:r>
      <w:r>
        <w:rPr>
          <w:rFonts w:ascii="宋体" w:hAnsi="宋体" w:hint="eastAsia"/>
          <w:snapToGrid w:val="0"/>
          <w:kern w:val="0"/>
          <w:szCs w:val="21"/>
        </w:rPr>
        <w:t>维修养护、设备检测所需工具、设施、物料由中标方自备、自费运到现场，完工后自费搬回，并做好现场清洁工作；</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eastAsia="zh-CN"/>
        </w:rPr>
        <w:t>（</w:t>
      </w:r>
      <w:r>
        <w:rPr>
          <w:rFonts w:ascii="宋体" w:hAnsi="宋体" w:hint="eastAsia"/>
          <w:snapToGrid w:val="0"/>
          <w:kern w:val="0"/>
          <w:szCs w:val="21"/>
          <w:lang w:val="en-US" w:eastAsia="zh-CN"/>
        </w:rPr>
        <w:t>6</w:t>
      </w:r>
      <w:r>
        <w:rPr>
          <w:rFonts w:ascii="宋体" w:hAnsi="宋体" w:hint="eastAsia"/>
          <w:snapToGrid w:val="0"/>
          <w:kern w:val="0"/>
          <w:szCs w:val="21"/>
          <w:lang w:eastAsia="zh-CN"/>
        </w:rPr>
        <w:t>）</w:t>
      </w:r>
      <w:r>
        <w:rPr>
          <w:rFonts w:ascii="宋体" w:hAnsi="宋体" w:hint="eastAsia"/>
          <w:snapToGrid w:val="0"/>
          <w:kern w:val="0"/>
          <w:szCs w:val="21"/>
        </w:rPr>
        <w:t>对</w:t>
      </w:r>
      <w:r>
        <w:rPr>
          <w:rFonts w:ascii="宋体" w:hAnsi="宋体" w:hint="eastAsia"/>
          <w:snapToGrid w:val="0"/>
          <w:kern w:val="0"/>
          <w:szCs w:val="21"/>
          <w:lang w:eastAsia="zh-CN"/>
        </w:rPr>
        <w:t>采购方</w:t>
      </w:r>
      <w:r>
        <w:rPr>
          <w:rFonts w:ascii="宋体" w:hAnsi="宋体" w:hint="eastAsia"/>
          <w:snapToGrid w:val="0"/>
          <w:kern w:val="0"/>
          <w:szCs w:val="21"/>
        </w:rPr>
        <w:t>提出的有关技术方面的问题应作出有根据的解释；</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val="en-US" w:eastAsia="zh-CN"/>
        </w:rPr>
        <w:t>（7）</w:t>
      </w:r>
      <w:r>
        <w:rPr>
          <w:rFonts w:ascii="宋体" w:hAnsi="宋体" w:hint="eastAsia"/>
          <w:snapToGrid w:val="0"/>
          <w:kern w:val="0"/>
          <w:szCs w:val="21"/>
        </w:rPr>
        <w:t>按国家相关施工验收规范分阶段有计划对养护设备进行调试，在实施前</w:t>
      </w:r>
      <w:r>
        <w:rPr>
          <w:rFonts w:ascii="宋体" w:hAnsi="宋体" w:hint="eastAsia"/>
          <w:snapToGrid w:val="0"/>
          <w:kern w:val="0"/>
          <w:szCs w:val="21"/>
          <w:lang w:val="en-US" w:eastAsia="zh-CN"/>
        </w:rPr>
        <w:t>需</w:t>
      </w:r>
      <w:r>
        <w:rPr>
          <w:rFonts w:ascii="宋体" w:hAnsi="宋体" w:hint="eastAsia"/>
          <w:snapToGrid w:val="0"/>
          <w:kern w:val="0"/>
          <w:szCs w:val="21"/>
        </w:rPr>
        <w:t>先经</w:t>
      </w:r>
      <w:r>
        <w:rPr>
          <w:rFonts w:ascii="宋体" w:hAnsi="宋体" w:hint="eastAsia"/>
          <w:snapToGrid w:val="0"/>
          <w:kern w:val="0"/>
          <w:szCs w:val="21"/>
          <w:lang w:eastAsia="zh-CN"/>
        </w:rPr>
        <w:t>采购方</w:t>
      </w:r>
      <w:r>
        <w:rPr>
          <w:rFonts w:ascii="宋体" w:hAnsi="宋体" w:hint="eastAsia"/>
          <w:snapToGrid w:val="0"/>
          <w:kern w:val="0"/>
          <w:szCs w:val="21"/>
        </w:rPr>
        <w:t>书面同意方可进行，调试的原始记录</w:t>
      </w:r>
      <w:r>
        <w:rPr>
          <w:rFonts w:ascii="宋体" w:hAnsi="宋体" w:hint="eastAsia"/>
          <w:snapToGrid w:val="0"/>
          <w:kern w:val="0"/>
          <w:szCs w:val="21"/>
          <w:lang w:val="en-US" w:eastAsia="zh-CN"/>
        </w:rPr>
        <w:t>需</w:t>
      </w:r>
      <w:r>
        <w:rPr>
          <w:rFonts w:ascii="宋体" w:hAnsi="宋体" w:hint="eastAsia"/>
          <w:snapToGrid w:val="0"/>
          <w:kern w:val="0"/>
          <w:szCs w:val="21"/>
        </w:rPr>
        <w:t>经各方签字后作为验收的文件之一；</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val="en-US" w:eastAsia="zh-CN"/>
        </w:rPr>
        <w:t>（8）</w:t>
      </w:r>
      <w:r>
        <w:rPr>
          <w:rFonts w:ascii="宋体" w:hAnsi="宋体" w:hint="eastAsia"/>
          <w:snapToGrid w:val="0"/>
          <w:kern w:val="0"/>
          <w:szCs w:val="21"/>
        </w:rPr>
        <w:t>因养护工作所需的图纸、档案、资料，可向</w:t>
      </w:r>
      <w:r>
        <w:rPr>
          <w:rFonts w:ascii="宋体" w:hAnsi="宋体" w:hint="eastAsia"/>
          <w:snapToGrid w:val="0"/>
          <w:kern w:val="0"/>
          <w:szCs w:val="21"/>
          <w:lang w:eastAsia="zh-CN"/>
        </w:rPr>
        <w:t>采购方</w:t>
      </w:r>
      <w:r>
        <w:rPr>
          <w:rFonts w:ascii="宋体" w:hAnsi="宋体" w:hint="eastAsia"/>
          <w:snapToGrid w:val="0"/>
          <w:kern w:val="0"/>
          <w:szCs w:val="21"/>
        </w:rPr>
        <w:t>申请查阅，如需复印，应向</w:t>
      </w:r>
      <w:r>
        <w:rPr>
          <w:rFonts w:ascii="宋体" w:hAnsi="宋体" w:hint="eastAsia"/>
          <w:snapToGrid w:val="0"/>
          <w:kern w:val="0"/>
          <w:szCs w:val="21"/>
          <w:lang w:eastAsia="zh-CN"/>
        </w:rPr>
        <w:t>采购方</w:t>
      </w:r>
      <w:r>
        <w:rPr>
          <w:rFonts w:ascii="宋体" w:hAnsi="宋体" w:hint="eastAsia"/>
          <w:snapToGrid w:val="0"/>
          <w:kern w:val="0"/>
          <w:szCs w:val="21"/>
        </w:rPr>
        <w:t>提出书面申请，经</w:t>
      </w:r>
      <w:r>
        <w:rPr>
          <w:rFonts w:ascii="宋体" w:hAnsi="宋体" w:hint="eastAsia"/>
          <w:snapToGrid w:val="0"/>
          <w:kern w:val="0"/>
          <w:szCs w:val="21"/>
          <w:lang w:eastAsia="zh-CN"/>
        </w:rPr>
        <w:t>采购方</w:t>
      </w:r>
      <w:r>
        <w:rPr>
          <w:rFonts w:ascii="宋体" w:hAnsi="宋体" w:hint="eastAsia"/>
          <w:snapToGrid w:val="0"/>
          <w:kern w:val="0"/>
          <w:szCs w:val="21"/>
        </w:rPr>
        <w:t>批准后复印；</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snapToGrid w:val="0"/>
          <w:kern w:val="0"/>
          <w:szCs w:val="21"/>
        </w:rPr>
      </w:pPr>
      <w:r>
        <w:rPr>
          <w:rFonts w:ascii="宋体" w:hAnsi="宋体" w:hint="eastAsia"/>
          <w:snapToGrid w:val="0"/>
          <w:kern w:val="0"/>
          <w:szCs w:val="21"/>
          <w:lang w:val="en-US" w:eastAsia="zh-CN"/>
        </w:rPr>
        <w:t>（9）</w:t>
      </w:r>
      <w:r>
        <w:rPr>
          <w:rFonts w:ascii="宋体" w:hAnsi="宋体" w:hint="eastAsia"/>
          <w:snapToGrid w:val="0"/>
          <w:kern w:val="0"/>
          <w:szCs w:val="21"/>
        </w:rPr>
        <w:t>合同终止时，中标方</w:t>
      </w:r>
      <w:r>
        <w:rPr>
          <w:rFonts w:ascii="宋体" w:hAnsi="宋体" w:hint="eastAsia"/>
          <w:snapToGrid w:val="0"/>
          <w:kern w:val="0"/>
          <w:szCs w:val="21"/>
          <w:lang w:val="en-US" w:eastAsia="zh-CN"/>
        </w:rPr>
        <w:t>需</w:t>
      </w:r>
      <w:r>
        <w:rPr>
          <w:rFonts w:ascii="宋体" w:hAnsi="宋体" w:hint="eastAsia"/>
          <w:snapToGrid w:val="0"/>
          <w:kern w:val="0"/>
          <w:szCs w:val="21"/>
        </w:rPr>
        <w:t>向</w:t>
      </w:r>
      <w:r>
        <w:rPr>
          <w:rFonts w:ascii="宋体" w:hAnsi="宋体" w:hint="eastAsia"/>
          <w:snapToGrid w:val="0"/>
          <w:kern w:val="0"/>
          <w:szCs w:val="21"/>
          <w:lang w:eastAsia="zh-CN"/>
        </w:rPr>
        <w:t>采购方</w:t>
      </w:r>
      <w:r>
        <w:rPr>
          <w:rFonts w:ascii="宋体" w:hAnsi="宋体" w:hint="eastAsia"/>
          <w:snapToGrid w:val="0"/>
          <w:kern w:val="0"/>
          <w:szCs w:val="21"/>
        </w:rPr>
        <w:t>移交其使用的全部档案资料及完好无损归还属于</w:t>
      </w:r>
      <w:r>
        <w:rPr>
          <w:rFonts w:ascii="宋体" w:hAnsi="宋体" w:hint="eastAsia"/>
          <w:snapToGrid w:val="0"/>
          <w:kern w:val="0"/>
          <w:szCs w:val="21"/>
          <w:lang w:eastAsia="zh-CN"/>
        </w:rPr>
        <w:t>采购方</w:t>
      </w:r>
      <w:r>
        <w:rPr>
          <w:rFonts w:ascii="宋体" w:hAnsi="宋体" w:hint="eastAsia"/>
          <w:snapToGrid w:val="0"/>
          <w:kern w:val="0"/>
          <w:szCs w:val="21"/>
        </w:rPr>
        <w:t>的设备和工具；</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snapToGrid w:val="0"/>
          <w:kern w:val="0"/>
          <w:szCs w:val="21"/>
        </w:rPr>
      </w:pPr>
      <w:r>
        <w:rPr>
          <w:rFonts w:ascii="宋体" w:hAnsi="宋体" w:hint="eastAsia"/>
          <w:snapToGrid w:val="0"/>
          <w:kern w:val="0"/>
          <w:szCs w:val="21"/>
          <w:lang w:val="en-US" w:eastAsia="zh-CN"/>
        </w:rPr>
        <w:t>（10）</w:t>
      </w:r>
      <w:r>
        <w:rPr>
          <w:rFonts w:ascii="宋体" w:hAnsi="宋体" w:hint="eastAsia"/>
          <w:snapToGrid w:val="0"/>
          <w:kern w:val="0"/>
          <w:szCs w:val="21"/>
        </w:rPr>
        <w:t>中标方对</w:t>
      </w:r>
      <w:r>
        <w:rPr>
          <w:rFonts w:ascii="宋体" w:hAnsi="宋体" w:hint="eastAsia"/>
          <w:snapToGrid w:val="0"/>
          <w:kern w:val="0"/>
          <w:szCs w:val="21"/>
          <w:lang w:eastAsia="zh-CN"/>
        </w:rPr>
        <w:t>采购方</w:t>
      </w:r>
      <w:r>
        <w:rPr>
          <w:rFonts w:ascii="宋体" w:hAnsi="宋体" w:hint="eastAsia"/>
          <w:snapToGrid w:val="0"/>
          <w:kern w:val="0"/>
          <w:szCs w:val="21"/>
        </w:rPr>
        <w:t>的维护资料、档案、图纸不得向任何第三方泄露</w:t>
      </w:r>
      <w:r>
        <w:rPr>
          <w:rFonts w:ascii="宋体" w:hAnsi="宋体" w:cs="宋体" w:hint="eastAsia"/>
          <w:color w:val="000000"/>
          <w:szCs w:val="21"/>
        </w:rPr>
        <w:t>，如未经许可泄露的，给招标人造成损失的，由中标人承担相应的法律和经济责任。</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snapToGrid w:val="0"/>
          <w:kern w:val="0"/>
          <w:szCs w:val="21"/>
        </w:rPr>
      </w:pPr>
      <w:r>
        <w:rPr>
          <w:rFonts w:ascii="宋体" w:hAnsi="宋体" w:hint="eastAsia"/>
          <w:snapToGrid w:val="0"/>
          <w:kern w:val="0"/>
          <w:szCs w:val="21"/>
          <w:lang w:val="en-US" w:eastAsia="zh-CN"/>
        </w:rPr>
        <w:t>（11）</w:t>
      </w:r>
      <w:r>
        <w:rPr>
          <w:rFonts w:ascii="宋体" w:hAnsi="宋体" w:hint="eastAsia"/>
          <w:snapToGrid w:val="0"/>
          <w:kern w:val="0"/>
          <w:szCs w:val="21"/>
        </w:rPr>
        <w:t>中标方需确保</w:t>
      </w:r>
      <w:r>
        <w:rPr>
          <w:rFonts w:ascii="宋体" w:hAnsi="宋体" w:hint="eastAsia"/>
          <w:snapToGrid w:val="0"/>
          <w:kern w:val="0"/>
          <w:szCs w:val="21"/>
          <w:lang w:val="en-US" w:eastAsia="zh-CN"/>
        </w:rPr>
        <w:t>高压</w:t>
      </w:r>
      <w:r>
        <w:rPr>
          <w:rFonts w:ascii="宋体" w:hAnsi="宋体" w:hint="eastAsia"/>
          <w:snapToGrid w:val="0"/>
          <w:kern w:val="0"/>
          <w:szCs w:val="21"/>
        </w:rPr>
        <w:t>设施的完好率，解决</w:t>
      </w:r>
      <w:r>
        <w:rPr>
          <w:rFonts w:ascii="宋体" w:hAnsi="宋体" w:hint="eastAsia"/>
          <w:snapToGrid w:val="0"/>
          <w:kern w:val="0"/>
          <w:szCs w:val="21"/>
          <w:lang w:val="en-US" w:eastAsia="zh-CN"/>
        </w:rPr>
        <w:t>高压</w:t>
      </w:r>
      <w:r>
        <w:rPr>
          <w:rFonts w:ascii="宋体" w:hAnsi="宋体" w:hint="eastAsia"/>
          <w:snapToGrid w:val="0"/>
          <w:kern w:val="0"/>
          <w:szCs w:val="21"/>
        </w:rPr>
        <w:t>设施的安全隐患，承担因</w:t>
      </w:r>
      <w:r>
        <w:rPr>
          <w:rFonts w:ascii="宋体" w:hAnsi="宋体" w:hint="eastAsia"/>
          <w:snapToGrid w:val="0"/>
          <w:kern w:val="0"/>
          <w:szCs w:val="21"/>
          <w:lang w:val="en-US" w:eastAsia="zh-CN"/>
        </w:rPr>
        <w:t>高压</w:t>
      </w:r>
      <w:r>
        <w:rPr>
          <w:rFonts w:ascii="宋体" w:hAnsi="宋体" w:hint="eastAsia"/>
          <w:snapToGrid w:val="0"/>
          <w:kern w:val="0"/>
          <w:szCs w:val="21"/>
        </w:rPr>
        <w:t>设施造成的人员伤亡责任、物资损失责任和其他财产损失责任。</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snapToGrid w:val="0"/>
          <w:kern w:val="0"/>
          <w:szCs w:val="21"/>
        </w:rPr>
      </w:pPr>
      <w:r>
        <w:rPr>
          <w:rFonts w:ascii="宋体" w:hAnsi="宋体" w:hint="eastAsia"/>
          <w:snapToGrid w:val="0"/>
          <w:kern w:val="0"/>
          <w:szCs w:val="21"/>
          <w:lang w:val="en-US" w:eastAsia="zh-CN"/>
        </w:rPr>
        <w:t>（12）</w:t>
      </w:r>
      <w:r>
        <w:rPr>
          <w:rFonts w:ascii="宋体" w:hAnsi="宋体" w:hint="eastAsia"/>
          <w:snapToGrid w:val="0"/>
          <w:kern w:val="0"/>
          <w:szCs w:val="21"/>
        </w:rPr>
        <w:t>中标方有义务查找本来属于维护范围但因地铁、道路等工程影响在其他工程围挡内的</w:t>
      </w:r>
      <w:r>
        <w:rPr>
          <w:rFonts w:ascii="宋体" w:hAnsi="宋体" w:hint="eastAsia"/>
          <w:snapToGrid w:val="0"/>
          <w:kern w:val="0"/>
          <w:szCs w:val="21"/>
          <w:lang w:val="en-US" w:eastAsia="zh-CN"/>
        </w:rPr>
        <w:t>高压</w:t>
      </w:r>
      <w:r>
        <w:rPr>
          <w:rFonts w:ascii="宋体" w:hAnsi="宋体" w:hint="eastAsia"/>
          <w:snapToGrid w:val="0"/>
          <w:kern w:val="0"/>
          <w:szCs w:val="21"/>
        </w:rPr>
        <w:t>设施故障原因。</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b/>
          <w:snapToGrid w:val="0"/>
          <w:kern w:val="0"/>
          <w:szCs w:val="21"/>
          <w:lang w:val="en-US" w:eastAsia="zh-CN"/>
        </w:rPr>
        <w:t>3.</w:t>
      </w:r>
      <w:r>
        <w:rPr>
          <w:rFonts w:ascii="宋体" w:hAnsi="宋体" w:hint="eastAsia"/>
          <w:b/>
          <w:snapToGrid w:val="0"/>
          <w:kern w:val="0"/>
          <w:szCs w:val="21"/>
        </w:rPr>
        <w:t>违约责任</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eastAsia="zh-CN"/>
        </w:rPr>
        <w:t>（</w:t>
      </w:r>
      <w:r>
        <w:rPr>
          <w:rFonts w:ascii="宋体" w:hAnsi="宋体" w:hint="eastAsia"/>
          <w:snapToGrid w:val="0"/>
          <w:kern w:val="0"/>
          <w:szCs w:val="21"/>
          <w:lang w:val="en-US" w:eastAsia="zh-CN"/>
        </w:rPr>
        <w:t>1</w:t>
      </w:r>
      <w:r>
        <w:rPr>
          <w:rFonts w:ascii="宋体" w:hAnsi="宋体" w:hint="eastAsia"/>
          <w:snapToGrid w:val="0"/>
          <w:kern w:val="0"/>
          <w:szCs w:val="21"/>
          <w:lang w:eastAsia="zh-CN"/>
        </w:rPr>
        <w:t>）</w:t>
      </w:r>
      <w:r>
        <w:rPr>
          <w:rFonts w:ascii="宋体" w:hAnsi="宋体" w:hint="eastAsia"/>
          <w:snapToGrid w:val="0"/>
          <w:kern w:val="0"/>
          <w:szCs w:val="21"/>
        </w:rPr>
        <w:t>中标方存在以下行为，</w:t>
      </w:r>
      <w:r>
        <w:rPr>
          <w:rFonts w:ascii="宋体" w:eastAsia="宋体" w:hAnsi="宋体" w:cs="宋体" w:hint="eastAsia"/>
          <w:color w:val="000000"/>
          <w:sz w:val="21"/>
          <w:szCs w:val="21"/>
          <w:lang w:eastAsia="zh-CN"/>
        </w:rPr>
        <w:t>采购方</w:t>
      </w:r>
      <w:r>
        <w:rPr>
          <w:rFonts w:ascii="Calibri" w:hAnsi="宋体" w:cs="宋体" w:hint="eastAsia"/>
          <w:color w:val="000000"/>
          <w:sz w:val="21"/>
          <w:szCs w:val="21"/>
          <w:lang w:val="en-US" w:eastAsia="zh-CN"/>
        </w:rPr>
        <w:t>有</w:t>
      </w:r>
      <w:r>
        <w:rPr>
          <w:rFonts w:ascii="Calibri" w:hAnsi="Calibri" w:hint="eastAsia"/>
          <w:lang w:val="en-US" w:eastAsia="zh-CN"/>
        </w:rPr>
        <w:t>权报财政局审批后提前解除合同</w:t>
      </w:r>
      <w:r>
        <w:rPr>
          <w:rFonts w:ascii="宋体" w:hAnsi="宋体" w:hint="eastAsia"/>
          <w:snapToGrid w:val="0"/>
          <w:kern w:val="0"/>
          <w:szCs w:val="21"/>
        </w:rPr>
        <w:t>：</w:t>
      </w:r>
    </w:p>
    <w:p>
      <w:pPr>
        <w:keepNext w:val="0"/>
        <w:keepLines w:val="0"/>
        <w:pageBreakBefore w:val="0"/>
        <w:kinsoku/>
        <w:wordWrap/>
        <w:overflowPunct/>
        <w:topLinePunct w:val="0"/>
        <w:autoSpaceDE/>
        <w:autoSpaceDN/>
        <w:bidi w:val="0"/>
        <w:adjustRightInd/>
        <w:snapToGrid/>
        <w:spacing w:line="360" w:lineRule="auto"/>
        <w:ind w:firstLine="630" w:firstLineChars="300"/>
        <w:jc w:val="left"/>
        <w:textAlignment w:val="auto"/>
        <w:rPr>
          <w:rFonts w:ascii="宋体" w:hAnsi="宋体"/>
          <w:b/>
          <w:snapToGrid w:val="0"/>
          <w:kern w:val="0"/>
          <w:szCs w:val="21"/>
        </w:rPr>
      </w:pPr>
      <w:r>
        <w:rPr>
          <w:rFonts w:ascii="宋体" w:hAnsi="宋体" w:hint="eastAsia"/>
          <w:snapToGrid w:val="0"/>
          <w:kern w:val="0"/>
          <w:szCs w:val="21"/>
          <w:lang w:val="en-US" w:eastAsia="zh-CN"/>
        </w:rPr>
        <w:t>1</w:t>
      </w:r>
      <w:r>
        <w:rPr>
          <w:rFonts w:ascii="宋体" w:hAnsi="宋体" w:hint="eastAsia"/>
          <w:snapToGrid w:val="0"/>
          <w:kern w:val="0"/>
          <w:szCs w:val="21"/>
          <w:lang w:eastAsia="zh-CN"/>
        </w:rPr>
        <w:t>）</w:t>
      </w:r>
      <w:r>
        <w:rPr>
          <w:rFonts w:ascii="宋体" w:hAnsi="宋体" w:hint="eastAsia"/>
          <w:snapToGrid w:val="0"/>
          <w:kern w:val="0"/>
          <w:szCs w:val="21"/>
        </w:rPr>
        <w:t>中标方</w:t>
      </w:r>
      <w:r>
        <w:rPr>
          <w:rFonts w:ascii="宋体" w:hAnsi="宋体" w:hint="eastAsia"/>
          <w:szCs w:val="21"/>
        </w:rPr>
        <w:t>发生严重安全事故或意外，</w:t>
      </w:r>
      <w:r>
        <w:rPr>
          <w:rFonts w:ascii="宋体" w:hAnsi="宋体" w:hint="eastAsia"/>
          <w:snapToGrid w:val="0"/>
          <w:kern w:val="0"/>
          <w:szCs w:val="21"/>
        </w:rPr>
        <w:t>采取消极态度进行处理，隐瞒上报重大事故；</w:t>
      </w:r>
    </w:p>
    <w:p>
      <w:pPr>
        <w:keepNext w:val="0"/>
        <w:keepLines w:val="0"/>
        <w:pageBreakBefore w:val="0"/>
        <w:kinsoku/>
        <w:wordWrap/>
        <w:overflowPunct/>
        <w:topLinePunct w:val="0"/>
        <w:autoSpaceDE/>
        <w:autoSpaceDN/>
        <w:bidi w:val="0"/>
        <w:adjustRightInd/>
        <w:snapToGrid/>
        <w:spacing w:line="360" w:lineRule="auto"/>
        <w:ind w:firstLine="630" w:firstLineChars="300"/>
        <w:jc w:val="left"/>
        <w:textAlignment w:val="auto"/>
        <w:rPr>
          <w:rFonts w:ascii="宋体" w:hAnsi="宋体"/>
          <w:snapToGrid w:val="0"/>
          <w:kern w:val="0"/>
          <w:szCs w:val="21"/>
        </w:rPr>
      </w:pPr>
      <w:r>
        <w:rPr>
          <w:rFonts w:ascii="宋体" w:hAnsi="宋体" w:hint="eastAsia"/>
          <w:snapToGrid w:val="0"/>
          <w:kern w:val="0"/>
          <w:szCs w:val="21"/>
          <w:lang w:val="en-US" w:eastAsia="zh-CN"/>
        </w:rPr>
        <w:t>2</w:t>
      </w:r>
      <w:r>
        <w:rPr>
          <w:rFonts w:ascii="宋体" w:hAnsi="宋体" w:hint="eastAsia"/>
          <w:snapToGrid w:val="0"/>
          <w:kern w:val="0"/>
          <w:szCs w:val="21"/>
          <w:lang w:eastAsia="zh-CN"/>
        </w:rPr>
        <w:t>）</w:t>
      </w:r>
      <w:r>
        <w:rPr>
          <w:rFonts w:ascii="宋体" w:hAnsi="宋体" w:hint="eastAsia"/>
          <w:snapToGrid w:val="0"/>
          <w:kern w:val="0"/>
          <w:szCs w:val="21"/>
        </w:rPr>
        <w:t>中标方在养护期间，无故停止工作累计7天或以上；</w:t>
      </w:r>
    </w:p>
    <w:p>
      <w:pPr>
        <w:keepNext w:val="0"/>
        <w:keepLines w:val="0"/>
        <w:pageBreakBefore w:val="0"/>
        <w:kinsoku/>
        <w:wordWrap/>
        <w:overflowPunct/>
        <w:topLinePunct w:val="0"/>
        <w:autoSpaceDE/>
        <w:autoSpaceDN/>
        <w:bidi w:val="0"/>
        <w:adjustRightInd/>
        <w:snapToGrid/>
        <w:spacing w:line="360" w:lineRule="auto"/>
        <w:ind w:firstLine="630" w:firstLineChars="300"/>
        <w:jc w:val="left"/>
        <w:textAlignment w:val="auto"/>
        <w:rPr>
          <w:rFonts w:ascii="宋体" w:eastAsia="宋体" w:hAnsi="宋体" w:hint="eastAsia"/>
          <w:b/>
          <w:snapToGrid w:val="0"/>
          <w:kern w:val="0"/>
          <w:szCs w:val="21"/>
          <w:lang w:eastAsia="zh-CN"/>
        </w:rPr>
      </w:pPr>
      <w:r>
        <w:rPr>
          <w:rFonts w:ascii="宋体" w:hAnsi="宋体" w:hint="eastAsia"/>
          <w:snapToGrid w:val="0"/>
          <w:kern w:val="0"/>
          <w:szCs w:val="21"/>
        </w:rPr>
        <w:t>3）考核得分连续2个月不能达到</w:t>
      </w:r>
      <w:r>
        <w:rPr>
          <w:rFonts w:ascii="宋体" w:hAnsi="宋体" w:hint="eastAsia"/>
          <w:snapToGrid w:val="0"/>
          <w:kern w:val="0"/>
          <w:szCs w:val="21"/>
          <w:lang w:val="en-US" w:eastAsia="zh-CN"/>
        </w:rPr>
        <w:t>8</w:t>
      </w:r>
      <w:r>
        <w:rPr>
          <w:rFonts w:ascii="宋体" w:hAnsi="宋体" w:hint="eastAsia"/>
          <w:snapToGrid w:val="0"/>
          <w:kern w:val="0"/>
          <w:szCs w:val="21"/>
        </w:rPr>
        <w:t>5分的或累计3次不能达到</w:t>
      </w:r>
      <w:r>
        <w:rPr>
          <w:rFonts w:ascii="宋体" w:hAnsi="宋体" w:hint="eastAsia"/>
          <w:snapToGrid w:val="0"/>
          <w:kern w:val="0"/>
          <w:szCs w:val="21"/>
          <w:lang w:val="en-US" w:eastAsia="zh-CN"/>
        </w:rPr>
        <w:t>8</w:t>
      </w:r>
      <w:r>
        <w:rPr>
          <w:rFonts w:ascii="宋体" w:hAnsi="宋体" w:hint="eastAsia"/>
          <w:snapToGrid w:val="0"/>
          <w:kern w:val="0"/>
          <w:szCs w:val="21"/>
        </w:rPr>
        <w:t>5分的</w:t>
      </w:r>
      <w:r>
        <w:rPr>
          <w:rFonts w:ascii="宋体" w:hAnsi="宋体" w:hint="eastAsia"/>
          <w:snapToGrid w:val="0"/>
          <w:kern w:val="0"/>
          <w:szCs w:val="21"/>
          <w:lang w:eastAsia="zh-CN"/>
        </w:rPr>
        <w:t>；</w:t>
      </w:r>
    </w:p>
    <w:p>
      <w:pPr>
        <w:keepNext w:val="0"/>
        <w:keepLines w:val="0"/>
        <w:pageBreakBefore w:val="0"/>
        <w:kinsoku/>
        <w:wordWrap/>
        <w:overflowPunct/>
        <w:topLinePunct w:val="0"/>
        <w:autoSpaceDE/>
        <w:autoSpaceDN/>
        <w:bidi w:val="0"/>
        <w:adjustRightInd/>
        <w:snapToGrid/>
        <w:spacing w:line="360" w:lineRule="auto"/>
        <w:ind w:firstLine="630" w:firstLineChars="300"/>
        <w:jc w:val="left"/>
        <w:textAlignment w:val="auto"/>
        <w:rPr>
          <w:rFonts w:ascii="宋体" w:hAnsi="宋体"/>
          <w:snapToGrid w:val="0"/>
          <w:kern w:val="0"/>
          <w:szCs w:val="21"/>
        </w:rPr>
      </w:pPr>
      <w:r>
        <w:rPr>
          <w:rFonts w:ascii="宋体" w:hAnsi="宋体" w:hint="eastAsia"/>
          <w:snapToGrid w:val="0"/>
          <w:kern w:val="0"/>
          <w:szCs w:val="21"/>
        </w:rPr>
        <w:t>4）有服务要求内所述的其他情况。</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val="en-US" w:eastAsia="zh-CN"/>
        </w:rPr>
        <w:t>（2）</w:t>
      </w:r>
      <w:r>
        <w:rPr>
          <w:rFonts w:ascii="宋体" w:hAnsi="宋体" w:hint="eastAsia"/>
          <w:snapToGrid w:val="0"/>
          <w:kern w:val="0"/>
          <w:szCs w:val="21"/>
        </w:rPr>
        <w:t>中标方违反合同及采购文件约定的有关义务，对</w:t>
      </w:r>
      <w:r>
        <w:rPr>
          <w:rFonts w:ascii="宋体" w:hAnsi="宋体" w:hint="eastAsia"/>
          <w:snapToGrid w:val="0"/>
          <w:kern w:val="0"/>
          <w:szCs w:val="21"/>
          <w:lang w:eastAsia="zh-CN"/>
        </w:rPr>
        <w:t>采购方</w:t>
      </w:r>
      <w:r>
        <w:rPr>
          <w:rFonts w:ascii="宋体" w:hAnsi="宋体" w:hint="eastAsia"/>
          <w:snapToGrid w:val="0"/>
          <w:kern w:val="0"/>
          <w:szCs w:val="21"/>
        </w:rPr>
        <w:t>造成损失的，应给予</w:t>
      </w:r>
      <w:r>
        <w:rPr>
          <w:rFonts w:ascii="宋体" w:hAnsi="宋体" w:hint="eastAsia"/>
          <w:snapToGrid w:val="0"/>
          <w:kern w:val="0"/>
          <w:szCs w:val="21"/>
          <w:lang w:eastAsia="zh-CN"/>
        </w:rPr>
        <w:t>采购方</w:t>
      </w:r>
      <w:r>
        <w:rPr>
          <w:rFonts w:ascii="宋体" w:hAnsi="宋体" w:hint="eastAsia"/>
          <w:snapToGrid w:val="0"/>
          <w:kern w:val="0"/>
          <w:szCs w:val="21"/>
        </w:rPr>
        <w:t>全部赔偿；如造成重大损失或重大安全事故的，</w:t>
      </w:r>
      <w:r>
        <w:rPr>
          <w:rFonts w:ascii="宋体" w:eastAsia="宋体" w:hAnsi="宋体" w:cs="宋体" w:hint="eastAsia"/>
          <w:color w:val="000000"/>
          <w:sz w:val="21"/>
          <w:szCs w:val="21"/>
          <w:lang w:eastAsia="zh-CN"/>
        </w:rPr>
        <w:t>采购方</w:t>
      </w:r>
      <w:r>
        <w:rPr>
          <w:rFonts w:ascii="Calibri" w:hAnsi="宋体" w:cs="宋体" w:hint="eastAsia"/>
          <w:color w:val="000000"/>
          <w:sz w:val="21"/>
          <w:szCs w:val="21"/>
          <w:lang w:val="en-US" w:eastAsia="zh-CN"/>
        </w:rPr>
        <w:t>有</w:t>
      </w:r>
      <w:r>
        <w:rPr>
          <w:rFonts w:ascii="Calibri" w:hAnsi="Calibri" w:hint="eastAsia"/>
          <w:lang w:val="en-US" w:eastAsia="zh-CN"/>
        </w:rPr>
        <w:t>权报财政局审批后</w:t>
      </w:r>
      <w:r>
        <w:rPr>
          <w:rFonts w:ascii="宋体" w:hAnsi="宋体" w:hint="eastAsia"/>
          <w:snapToGrid w:val="0"/>
          <w:kern w:val="0"/>
          <w:szCs w:val="21"/>
        </w:rPr>
        <w:t>终止合同。</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eastAsia="zh-CN"/>
        </w:rPr>
        <w:t>（</w:t>
      </w:r>
      <w:r>
        <w:rPr>
          <w:rFonts w:ascii="宋体" w:hAnsi="宋体" w:hint="eastAsia"/>
          <w:snapToGrid w:val="0"/>
          <w:kern w:val="0"/>
          <w:szCs w:val="21"/>
          <w:lang w:val="en-US" w:eastAsia="zh-CN"/>
        </w:rPr>
        <w:t>3</w:t>
      </w:r>
      <w:r>
        <w:rPr>
          <w:rFonts w:ascii="宋体" w:hAnsi="宋体" w:hint="eastAsia"/>
          <w:snapToGrid w:val="0"/>
          <w:kern w:val="0"/>
          <w:szCs w:val="21"/>
          <w:lang w:eastAsia="zh-CN"/>
        </w:rPr>
        <w:t>）</w:t>
      </w:r>
      <w:r>
        <w:rPr>
          <w:rFonts w:ascii="宋体" w:hAnsi="宋体" w:hint="eastAsia"/>
          <w:snapToGrid w:val="0"/>
          <w:kern w:val="0"/>
          <w:szCs w:val="21"/>
        </w:rPr>
        <w:t>因中标方原因造成</w:t>
      </w:r>
      <w:r>
        <w:rPr>
          <w:rFonts w:ascii="宋体" w:hAnsi="宋体" w:hint="eastAsia"/>
          <w:snapToGrid w:val="0"/>
          <w:kern w:val="0"/>
          <w:szCs w:val="21"/>
          <w:lang w:eastAsia="zh-CN"/>
        </w:rPr>
        <w:t>采购方</w:t>
      </w:r>
      <w:r>
        <w:rPr>
          <w:rFonts w:ascii="宋体" w:hAnsi="宋体" w:hint="eastAsia"/>
          <w:snapToGrid w:val="0"/>
          <w:kern w:val="0"/>
          <w:szCs w:val="21"/>
        </w:rPr>
        <w:t>交付管理的财产、设施等损坏或丢失，中标方应赔偿损失。</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val="en-US" w:eastAsia="zh-CN"/>
        </w:rPr>
        <w:t>（4）</w:t>
      </w:r>
      <w:r>
        <w:rPr>
          <w:rFonts w:ascii="宋体" w:hAnsi="宋体" w:hint="eastAsia"/>
          <w:snapToGrid w:val="0"/>
          <w:kern w:val="0"/>
          <w:szCs w:val="21"/>
        </w:rPr>
        <w:t>中标方和</w:t>
      </w:r>
      <w:r>
        <w:rPr>
          <w:rFonts w:ascii="宋体" w:hAnsi="宋体" w:hint="eastAsia"/>
          <w:snapToGrid w:val="0"/>
          <w:kern w:val="0"/>
          <w:szCs w:val="21"/>
          <w:lang w:eastAsia="zh-CN"/>
        </w:rPr>
        <w:t>采购方</w:t>
      </w:r>
      <w:r>
        <w:rPr>
          <w:rFonts w:ascii="宋体" w:hAnsi="宋体" w:hint="eastAsia"/>
          <w:snapToGrid w:val="0"/>
          <w:kern w:val="0"/>
          <w:szCs w:val="21"/>
        </w:rPr>
        <w:t>任何一方无正当理由提前终止合同的，应向对方支付与履约保证金等额的违约金。</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val="en-US" w:eastAsia="zh-CN"/>
        </w:rPr>
        <w:t>（5）</w:t>
      </w:r>
      <w:r>
        <w:rPr>
          <w:rFonts w:ascii="宋体" w:hAnsi="宋体" w:hint="eastAsia"/>
          <w:snapToGrid w:val="0"/>
          <w:kern w:val="0"/>
          <w:szCs w:val="21"/>
        </w:rPr>
        <w:t>中标方在接管后1个月内非因</w:t>
      </w:r>
      <w:r>
        <w:rPr>
          <w:rFonts w:ascii="宋体" w:hAnsi="宋体" w:hint="eastAsia"/>
          <w:snapToGrid w:val="0"/>
          <w:kern w:val="0"/>
          <w:szCs w:val="21"/>
          <w:lang w:eastAsia="zh-CN"/>
        </w:rPr>
        <w:t>采购方</w:t>
      </w:r>
      <w:r>
        <w:rPr>
          <w:rFonts w:ascii="宋体" w:hAnsi="宋体" w:hint="eastAsia"/>
          <w:snapToGrid w:val="0"/>
          <w:kern w:val="0"/>
          <w:szCs w:val="21"/>
        </w:rPr>
        <w:t>原因不能正常运作的，</w:t>
      </w:r>
      <w:r>
        <w:rPr>
          <w:rFonts w:ascii="宋体" w:eastAsia="宋体" w:hAnsi="宋体" w:cs="宋体" w:hint="eastAsia"/>
          <w:color w:val="000000"/>
          <w:sz w:val="21"/>
          <w:szCs w:val="21"/>
          <w:lang w:eastAsia="zh-CN"/>
        </w:rPr>
        <w:t>采购方</w:t>
      </w:r>
      <w:r>
        <w:rPr>
          <w:rFonts w:ascii="Calibri" w:hAnsi="宋体" w:cs="宋体" w:hint="eastAsia"/>
          <w:color w:val="000000"/>
          <w:sz w:val="21"/>
          <w:szCs w:val="21"/>
          <w:lang w:val="en-US" w:eastAsia="zh-CN"/>
        </w:rPr>
        <w:t>有</w:t>
      </w:r>
      <w:r>
        <w:rPr>
          <w:rFonts w:ascii="Calibri" w:hAnsi="Calibri" w:hint="eastAsia"/>
          <w:lang w:val="en-US" w:eastAsia="zh-CN"/>
        </w:rPr>
        <w:t>权报财政局审批后</w:t>
      </w:r>
      <w:r>
        <w:rPr>
          <w:rFonts w:ascii="宋体" w:hAnsi="宋体" w:hint="eastAsia"/>
          <w:snapToGrid w:val="0"/>
          <w:kern w:val="0"/>
          <w:szCs w:val="21"/>
        </w:rPr>
        <w:t>解除合同。</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宋体" w:hAnsi="宋体"/>
          <w:b/>
          <w:snapToGrid w:val="0"/>
          <w:kern w:val="0"/>
          <w:szCs w:val="21"/>
        </w:rPr>
      </w:pPr>
      <w:r>
        <w:rPr>
          <w:rFonts w:ascii="宋体" w:hAnsi="宋体" w:hint="eastAsia"/>
          <w:snapToGrid w:val="0"/>
          <w:kern w:val="0"/>
          <w:szCs w:val="21"/>
          <w:lang w:val="en-US" w:eastAsia="zh-CN"/>
        </w:rPr>
        <w:t>（6）中</w:t>
      </w:r>
      <w:r>
        <w:rPr>
          <w:rFonts w:ascii="宋体" w:hAnsi="宋体" w:hint="eastAsia"/>
          <w:snapToGrid w:val="0"/>
          <w:kern w:val="0"/>
          <w:szCs w:val="21"/>
        </w:rPr>
        <w:t>标方在签订合同后或承包过程中无论因何种原因放弃承包权时，由</w:t>
      </w:r>
      <w:r>
        <w:rPr>
          <w:rFonts w:ascii="宋体" w:hAnsi="宋体" w:hint="eastAsia"/>
          <w:snapToGrid w:val="0"/>
          <w:kern w:val="0"/>
          <w:szCs w:val="21"/>
          <w:lang w:eastAsia="zh-CN"/>
        </w:rPr>
        <w:t>采购方</w:t>
      </w:r>
      <w:r>
        <w:rPr>
          <w:rFonts w:ascii="宋体" w:hAnsi="宋体" w:hint="eastAsia"/>
          <w:snapToGrid w:val="0"/>
          <w:kern w:val="0"/>
          <w:szCs w:val="21"/>
        </w:rPr>
        <w:t>报相关部门依照有关法律规定给予处罚。</w:t>
      </w:r>
    </w:p>
    <w:p>
      <w:pPr>
        <w:keepNext w:val="0"/>
        <w:keepLines w:val="0"/>
        <w:pageBreakBefore w:val="0"/>
        <w:widowControl/>
        <w:kinsoku/>
        <w:wordWrap/>
        <w:overflowPunct/>
        <w:topLinePunct w:val="0"/>
        <w:autoSpaceDE/>
        <w:autoSpaceDN/>
        <w:bidi w:val="0"/>
        <w:adjustRightInd/>
        <w:snapToGrid/>
        <w:spacing w:before="0" w:after="0" w:line="360" w:lineRule="auto"/>
        <w:ind w:firstLine="420" w:firstLineChars="200"/>
        <w:jc w:val="left"/>
        <w:textAlignment w:val="auto"/>
        <w:rPr>
          <w:rFonts w:ascii="宋体" w:eastAsia="宋体" w:hAnsi="宋体" w:cs="宋体" w:hint="eastAsia"/>
          <w:sz w:val="21"/>
          <w:szCs w:val="21"/>
        </w:rPr>
      </w:pPr>
      <w:r>
        <w:rPr>
          <w:rFonts w:ascii="宋体" w:hAnsi="宋体" w:cs="宋体" w:hint="eastAsia"/>
          <w:snapToGrid w:val="0"/>
          <w:kern w:val="0"/>
          <w:szCs w:val="21"/>
          <w:lang w:val="en-US" w:eastAsia="zh-CN"/>
        </w:rPr>
        <w:t>（7）</w:t>
      </w:r>
      <w:r>
        <w:rPr>
          <w:rFonts w:ascii="宋体" w:hAnsi="宋体" w:cs="宋体" w:hint="eastAsia"/>
          <w:snapToGrid w:val="0"/>
          <w:kern w:val="0"/>
          <w:szCs w:val="21"/>
        </w:rPr>
        <w:t>中标方不能达到招标文件和合同规定的维修保养、抢修工程的质量要求的，或不能履行协议规定的义务，</w:t>
      </w:r>
      <w:r>
        <w:rPr>
          <w:rFonts w:ascii="宋体" w:hAnsi="宋体" w:cs="宋体" w:hint="eastAsia"/>
          <w:snapToGrid w:val="0"/>
          <w:kern w:val="0"/>
          <w:szCs w:val="21"/>
          <w:lang w:eastAsia="zh-CN"/>
        </w:rPr>
        <w:t>采购方</w:t>
      </w:r>
      <w:r>
        <w:rPr>
          <w:rFonts w:ascii="宋体" w:hAnsi="宋体" w:cs="宋体" w:hint="eastAsia"/>
          <w:snapToGrid w:val="0"/>
          <w:kern w:val="0"/>
          <w:szCs w:val="21"/>
        </w:rPr>
        <w:t>除对中标方发出整改通知书外，也可要求中标方承担因采取措施所增加的费用，并赔偿因上述违约行为给</w:t>
      </w:r>
      <w:r>
        <w:rPr>
          <w:rFonts w:ascii="宋体" w:hAnsi="宋体" w:cs="宋体" w:hint="eastAsia"/>
          <w:snapToGrid w:val="0"/>
          <w:kern w:val="0"/>
          <w:szCs w:val="21"/>
          <w:lang w:eastAsia="zh-CN"/>
        </w:rPr>
        <w:t>采购方</w:t>
      </w:r>
      <w:r>
        <w:rPr>
          <w:rFonts w:ascii="宋体" w:hAnsi="宋体" w:cs="宋体" w:hint="eastAsia"/>
          <w:snapToGrid w:val="0"/>
          <w:kern w:val="0"/>
          <w:szCs w:val="21"/>
        </w:rPr>
        <w:t>造成的损失。如</w:t>
      </w:r>
      <w:r>
        <w:rPr>
          <w:rFonts w:ascii="宋体" w:hAnsi="宋体" w:cs="宋体" w:hint="eastAsia"/>
          <w:snapToGrid w:val="0"/>
          <w:kern w:val="0"/>
          <w:szCs w:val="21"/>
          <w:lang w:eastAsia="zh-CN"/>
        </w:rPr>
        <w:t>采购方</w:t>
      </w:r>
      <w:r>
        <w:rPr>
          <w:rFonts w:ascii="宋体" w:hAnsi="宋体" w:cs="宋体" w:hint="eastAsia"/>
          <w:snapToGrid w:val="0"/>
          <w:kern w:val="0"/>
          <w:szCs w:val="21"/>
        </w:rPr>
        <w:t>认为有解除合同的必要，</w:t>
      </w:r>
      <w:r>
        <w:rPr>
          <w:rFonts w:ascii="宋体" w:eastAsia="宋体" w:hAnsi="宋体" w:cs="宋体" w:hint="eastAsia"/>
          <w:color w:val="000000"/>
          <w:sz w:val="21"/>
          <w:szCs w:val="21"/>
          <w:lang w:eastAsia="zh-CN"/>
        </w:rPr>
        <w:t>采购方</w:t>
      </w:r>
      <w:r>
        <w:rPr>
          <w:rFonts w:ascii="Calibri" w:hAnsi="宋体" w:cs="宋体" w:hint="eastAsia"/>
          <w:color w:val="000000"/>
          <w:sz w:val="21"/>
          <w:szCs w:val="21"/>
          <w:lang w:val="en-US" w:eastAsia="zh-CN"/>
        </w:rPr>
        <w:t>有</w:t>
      </w:r>
      <w:r>
        <w:rPr>
          <w:rFonts w:ascii="Calibri" w:hAnsi="Calibri" w:hint="eastAsia"/>
          <w:lang w:val="en-US" w:eastAsia="zh-CN"/>
        </w:rPr>
        <w:t>权报财政局审批后</w:t>
      </w:r>
      <w:r>
        <w:rPr>
          <w:rFonts w:ascii="宋体" w:hAnsi="宋体" w:cs="宋体" w:hint="eastAsia"/>
          <w:snapToGrid w:val="0"/>
          <w:kern w:val="0"/>
          <w:szCs w:val="21"/>
        </w:rPr>
        <w:t>解除维护合同。如</w:t>
      </w:r>
      <w:r>
        <w:rPr>
          <w:rFonts w:ascii="宋体" w:hAnsi="宋体" w:cs="宋体" w:hint="eastAsia"/>
          <w:snapToGrid w:val="0"/>
          <w:kern w:val="0"/>
          <w:szCs w:val="21"/>
          <w:lang w:eastAsia="zh-CN"/>
        </w:rPr>
        <w:t>采购方</w:t>
      </w:r>
      <w:r>
        <w:rPr>
          <w:rFonts w:ascii="宋体" w:hAnsi="宋体" w:cs="宋体" w:hint="eastAsia"/>
          <w:snapToGrid w:val="0"/>
          <w:kern w:val="0"/>
          <w:szCs w:val="21"/>
        </w:rPr>
        <w:t>不解除合同，可另行安排第三方代替中标方维护或抢修工作，产生的费用由中标方负责。</w:t>
      </w:r>
    </w:p>
    <w:p>
      <w:pPr>
        <w:pStyle w:val="Heading2"/>
        <w:keepNext w:val="0"/>
        <w:keepLines w:val="0"/>
        <w:pageBreakBefore w:val="0"/>
        <w:widowControl w:val="0"/>
        <w:kinsoku/>
        <w:wordWrap/>
        <w:overflowPunct/>
        <w:topLinePunct w:val="0"/>
        <w:bidi w:val="0"/>
        <w:snapToGrid/>
        <w:spacing w:before="0" w:after="0" w:line="360" w:lineRule="auto"/>
        <w:jc w:val="left"/>
        <w:rPr>
          <w:rFonts w:ascii="宋体" w:eastAsia="宋体" w:hAnsi="宋体" w:cs="宋体" w:hint="eastAsia"/>
          <w:b/>
          <w:bCs/>
          <w:sz w:val="21"/>
          <w:szCs w:val="21"/>
        </w:rPr>
      </w:pPr>
    </w:p>
    <w:p>
      <w:pPr>
        <w:rPr>
          <w:rFonts w:hint="eastAsia"/>
          <w:b/>
          <w:bCs/>
          <w:sz w:val="28"/>
          <w:szCs w:val="28"/>
        </w:rPr>
      </w:pPr>
      <w:r>
        <w:rPr>
          <w:rFonts w:hint="eastAsia"/>
          <w:b/>
          <w:bCs/>
          <w:sz w:val="28"/>
          <w:szCs w:val="28"/>
        </w:rPr>
        <w:br w:type="page"/>
      </w:r>
    </w:p>
    <w:p>
      <w:pPr>
        <w:pStyle w:val="Heading2"/>
        <w:spacing w:before="156" w:beforeLines="50" w:after="156" w:afterLines="50"/>
        <w:rPr>
          <w:sz w:val="28"/>
          <w:szCs w:val="28"/>
        </w:rPr>
      </w:pPr>
      <w:r>
        <w:rPr>
          <w:rFonts w:hint="eastAsia"/>
          <w:b/>
          <w:bCs/>
          <w:sz w:val="28"/>
          <w:szCs w:val="28"/>
        </w:rPr>
        <w:t>六、作业表格</w:t>
      </w:r>
    </w:p>
    <w:p>
      <w:pPr>
        <w:widowControl/>
        <w:spacing w:line="360" w:lineRule="auto"/>
        <w:rPr>
          <w:rFonts w:ascii="宋体" w:hAnsi="宋体" w:cs="宋体"/>
          <w:b/>
          <w:kern w:val="0"/>
          <w:szCs w:val="21"/>
        </w:rPr>
      </w:pPr>
      <w:r>
        <w:rPr>
          <w:rFonts w:ascii="宋体" w:hAnsi="宋体" w:cs="宋体" w:hint="eastAsia"/>
          <w:b/>
          <w:kern w:val="0"/>
          <w:szCs w:val="21"/>
        </w:rPr>
        <w:t>表3：大型维护项目维修报告</w:t>
      </w:r>
    </w:p>
    <w:tbl>
      <w:tblPr>
        <w:tblStyle w:val="TableNormal"/>
        <w:tblW w:w="90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1786"/>
        <w:gridCol w:w="2426"/>
        <w:gridCol w:w="2426"/>
        <w:gridCol w:w="2428"/>
      </w:tblGrid>
      <w:tr>
        <w:tblPrEx>
          <w:tblW w:w="90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786" w:type="dxa"/>
            <w:tcBorders>
              <w:tl2br w:val="nil"/>
              <w:tr2bl w:val="nil"/>
            </w:tcBorders>
          </w:tcPr>
          <w:p>
            <w:pPr>
              <w:spacing w:before="120" w:after="120" w:line="360" w:lineRule="auto"/>
              <w:outlineLvl w:val="1"/>
              <w:rPr>
                <w:rFonts w:ascii="宋体" w:hAnsi="宋体" w:cs="宋体"/>
                <w:szCs w:val="21"/>
              </w:rPr>
            </w:pPr>
            <w:r>
              <w:rPr>
                <w:rFonts w:ascii="宋体" w:hAnsi="宋体" w:cs="宋体" w:hint="eastAsia"/>
                <w:szCs w:val="21"/>
              </w:rPr>
              <w:t>维修内容</w:t>
            </w:r>
          </w:p>
        </w:tc>
        <w:tc>
          <w:tcPr>
            <w:tcW w:w="7280" w:type="dxa"/>
            <w:gridSpan w:val="3"/>
            <w:tcBorders>
              <w:tl2br w:val="nil"/>
              <w:tr2bl w:val="nil"/>
            </w:tcBorders>
          </w:tcPr>
          <w:p>
            <w:pPr>
              <w:spacing w:before="120" w:after="120" w:line="360" w:lineRule="auto"/>
              <w:outlineLvl w:val="1"/>
              <w:rPr>
                <w:rFonts w:ascii="宋体" w:hAnsi="宋体" w:cs="宋体"/>
                <w:szCs w:val="21"/>
              </w:rPr>
            </w:pPr>
          </w:p>
        </w:tc>
      </w:tr>
      <w:tr>
        <w:tblPrEx>
          <w:tblW w:w="9066" w:type="dxa"/>
          <w:jc w:val="center"/>
          <w:tblLayout w:type="fixed"/>
          <w:tblCellMar>
            <w:top w:w="0" w:type="dxa"/>
            <w:left w:w="108" w:type="dxa"/>
            <w:bottom w:w="0" w:type="dxa"/>
            <w:right w:w="108" w:type="dxa"/>
          </w:tblCellMar>
        </w:tblPrEx>
        <w:trPr>
          <w:jc w:val="center"/>
        </w:trPr>
        <w:tc>
          <w:tcPr>
            <w:tcW w:w="1786" w:type="dxa"/>
            <w:tcBorders>
              <w:tl2br w:val="nil"/>
              <w:tr2bl w:val="nil"/>
            </w:tcBorders>
          </w:tcPr>
          <w:p>
            <w:pPr>
              <w:spacing w:before="120" w:after="120" w:line="360" w:lineRule="auto"/>
              <w:outlineLvl w:val="1"/>
              <w:rPr>
                <w:rFonts w:ascii="宋体" w:hAnsi="宋体" w:cs="宋体"/>
                <w:szCs w:val="21"/>
              </w:rPr>
            </w:pPr>
            <w:r>
              <w:rPr>
                <w:rFonts w:ascii="宋体" w:hAnsi="宋体" w:cs="宋体" w:hint="eastAsia"/>
                <w:szCs w:val="21"/>
              </w:rPr>
              <w:t>维修地点（箱变、线路信息）</w:t>
            </w:r>
          </w:p>
        </w:tc>
        <w:tc>
          <w:tcPr>
            <w:tcW w:w="2426" w:type="dxa"/>
            <w:tcBorders>
              <w:tl2br w:val="nil"/>
              <w:tr2bl w:val="nil"/>
            </w:tcBorders>
          </w:tcPr>
          <w:p>
            <w:pPr>
              <w:spacing w:before="120" w:after="120" w:line="360" w:lineRule="auto"/>
              <w:outlineLvl w:val="1"/>
              <w:rPr>
                <w:rFonts w:ascii="宋体" w:hAnsi="宋体" w:cs="宋体"/>
                <w:szCs w:val="21"/>
              </w:rPr>
            </w:pPr>
          </w:p>
        </w:tc>
        <w:tc>
          <w:tcPr>
            <w:tcW w:w="2426" w:type="dxa"/>
            <w:tcBorders>
              <w:tl2br w:val="nil"/>
              <w:tr2bl w:val="nil"/>
            </w:tcBorders>
          </w:tcPr>
          <w:p>
            <w:pPr>
              <w:spacing w:before="120" w:after="120" w:line="360" w:lineRule="auto"/>
              <w:outlineLvl w:val="1"/>
              <w:rPr>
                <w:rFonts w:ascii="宋体" w:hAnsi="宋体" w:cs="宋体"/>
                <w:szCs w:val="21"/>
              </w:rPr>
            </w:pPr>
          </w:p>
        </w:tc>
        <w:tc>
          <w:tcPr>
            <w:tcW w:w="2428" w:type="dxa"/>
            <w:tcBorders>
              <w:tl2br w:val="nil"/>
              <w:tr2bl w:val="nil"/>
            </w:tcBorders>
          </w:tcPr>
          <w:p>
            <w:pPr>
              <w:spacing w:before="120" w:after="120" w:line="360" w:lineRule="auto"/>
              <w:outlineLvl w:val="1"/>
              <w:rPr>
                <w:rFonts w:ascii="宋体" w:hAnsi="宋体" w:cs="宋体"/>
                <w:szCs w:val="21"/>
              </w:rPr>
            </w:pPr>
          </w:p>
        </w:tc>
      </w:tr>
      <w:tr>
        <w:tblPrEx>
          <w:tblW w:w="9066" w:type="dxa"/>
          <w:jc w:val="center"/>
          <w:tblLayout w:type="fixed"/>
          <w:tblCellMar>
            <w:top w:w="0" w:type="dxa"/>
            <w:left w:w="108" w:type="dxa"/>
            <w:bottom w:w="0" w:type="dxa"/>
            <w:right w:w="108" w:type="dxa"/>
          </w:tblCellMar>
        </w:tblPrEx>
        <w:trPr>
          <w:jc w:val="center"/>
        </w:trPr>
        <w:tc>
          <w:tcPr>
            <w:tcW w:w="1786" w:type="dxa"/>
            <w:vMerge w:val="restart"/>
            <w:tcBorders>
              <w:tl2br w:val="nil"/>
              <w:tr2bl w:val="nil"/>
            </w:tcBorders>
          </w:tcPr>
          <w:p>
            <w:pPr>
              <w:spacing w:before="120" w:after="120" w:line="360" w:lineRule="auto"/>
              <w:outlineLvl w:val="1"/>
              <w:rPr>
                <w:rFonts w:ascii="宋体" w:hAnsi="宋体" w:cs="宋体"/>
                <w:szCs w:val="21"/>
              </w:rPr>
            </w:pPr>
            <w:r>
              <w:rPr>
                <w:rFonts w:ascii="宋体" w:hAnsi="宋体" w:cs="宋体" w:hint="eastAsia"/>
                <w:szCs w:val="21"/>
              </w:rPr>
              <w:t>维修时间</w:t>
            </w:r>
          </w:p>
        </w:tc>
        <w:tc>
          <w:tcPr>
            <w:tcW w:w="2426" w:type="dxa"/>
            <w:tcBorders>
              <w:tl2br w:val="nil"/>
              <w:tr2bl w:val="nil"/>
            </w:tcBorders>
          </w:tcPr>
          <w:p>
            <w:pPr>
              <w:spacing w:before="120" w:after="120" w:line="360" w:lineRule="auto"/>
              <w:outlineLvl w:val="1"/>
              <w:rPr>
                <w:rFonts w:ascii="宋体" w:hAnsi="宋体" w:cs="宋体"/>
                <w:szCs w:val="21"/>
              </w:rPr>
            </w:pPr>
            <w:r>
              <w:rPr>
                <w:rFonts w:ascii="宋体" w:hAnsi="宋体" w:cs="宋体" w:hint="eastAsia"/>
                <w:szCs w:val="21"/>
              </w:rPr>
              <w:t>开始维修时间</w:t>
            </w:r>
          </w:p>
        </w:tc>
        <w:tc>
          <w:tcPr>
            <w:tcW w:w="2426" w:type="dxa"/>
            <w:tcBorders>
              <w:tl2br w:val="nil"/>
              <w:tr2bl w:val="nil"/>
            </w:tcBorders>
          </w:tcPr>
          <w:p>
            <w:pPr>
              <w:spacing w:before="120" w:after="120" w:line="360" w:lineRule="auto"/>
              <w:outlineLvl w:val="1"/>
              <w:rPr>
                <w:rFonts w:ascii="宋体" w:hAnsi="宋体" w:cs="宋体"/>
                <w:szCs w:val="21"/>
              </w:rPr>
            </w:pPr>
            <w:r>
              <w:rPr>
                <w:rFonts w:ascii="宋体" w:hAnsi="宋体" w:cs="宋体" w:hint="eastAsia"/>
                <w:szCs w:val="21"/>
              </w:rPr>
              <w:t>维修完成时间</w:t>
            </w:r>
          </w:p>
        </w:tc>
        <w:tc>
          <w:tcPr>
            <w:tcW w:w="2428" w:type="dxa"/>
            <w:tcBorders>
              <w:tl2br w:val="nil"/>
              <w:tr2bl w:val="nil"/>
            </w:tcBorders>
          </w:tcPr>
          <w:p>
            <w:pPr>
              <w:spacing w:before="120" w:after="120" w:line="360" w:lineRule="auto"/>
              <w:outlineLvl w:val="1"/>
              <w:rPr>
                <w:rFonts w:ascii="宋体" w:hAnsi="宋体" w:cs="宋体"/>
                <w:szCs w:val="21"/>
              </w:rPr>
            </w:pPr>
          </w:p>
        </w:tc>
      </w:tr>
      <w:tr>
        <w:tblPrEx>
          <w:tblW w:w="9066" w:type="dxa"/>
          <w:jc w:val="center"/>
          <w:tblLayout w:type="fixed"/>
          <w:tblCellMar>
            <w:top w:w="0" w:type="dxa"/>
            <w:left w:w="108" w:type="dxa"/>
            <w:bottom w:w="0" w:type="dxa"/>
            <w:right w:w="108" w:type="dxa"/>
          </w:tblCellMar>
        </w:tblPrEx>
        <w:trPr>
          <w:jc w:val="center"/>
        </w:trPr>
        <w:tc>
          <w:tcPr>
            <w:tcW w:w="1786" w:type="dxa"/>
            <w:vMerge/>
            <w:tcBorders>
              <w:tl2br w:val="nil"/>
              <w:tr2bl w:val="nil"/>
            </w:tcBorders>
          </w:tcPr>
          <w:p>
            <w:pPr>
              <w:rPr>
                <w:rFonts w:ascii="宋体" w:hAnsi="宋体" w:cs="宋体"/>
                <w:szCs w:val="21"/>
              </w:rPr>
            </w:pPr>
          </w:p>
        </w:tc>
        <w:tc>
          <w:tcPr>
            <w:tcW w:w="2426" w:type="dxa"/>
            <w:tcBorders>
              <w:tl2br w:val="nil"/>
              <w:tr2bl w:val="nil"/>
            </w:tcBorders>
          </w:tcPr>
          <w:p>
            <w:pPr>
              <w:spacing w:before="120" w:after="120" w:line="360" w:lineRule="auto"/>
              <w:outlineLvl w:val="1"/>
              <w:rPr>
                <w:rFonts w:ascii="宋体" w:hAnsi="宋体" w:cs="宋体"/>
                <w:szCs w:val="21"/>
              </w:rPr>
            </w:pPr>
          </w:p>
        </w:tc>
        <w:tc>
          <w:tcPr>
            <w:tcW w:w="2426" w:type="dxa"/>
            <w:tcBorders>
              <w:tl2br w:val="nil"/>
              <w:tr2bl w:val="nil"/>
            </w:tcBorders>
          </w:tcPr>
          <w:p>
            <w:pPr>
              <w:spacing w:before="120" w:after="120" w:line="360" w:lineRule="auto"/>
              <w:outlineLvl w:val="1"/>
              <w:rPr>
                <w:rFonts w:ascii="宋体" w:hAnsi="宋体" w:cs="宋体"/>
                <w:szCs w:val="21"/>
              </w:rPr>
            </w:pPr>
          </w:p>
        </w:tc>
        <w:tc>
          <w:tcPr>
            <w:tcW w:w="2428" w:type="dxa"/>
            <w:tcBorders>
              <w:tl2br w:val="nil"/>
              <w:tr2bl w:val="nil"/>
            </w:tcBorders>
          </w:tcPr>
          <w:p>
            <w:pPr>
              <w:spacing w:before="120" w:after="120" w:line="360" w:lineRule="auto"/>
              <w:outlineLvl w:val="1"/>
              <w:rPr>
                <w:rFonts w:ascii="宋体" w:hAnsi="宋体" w:cs="宋体"/>
                <w:szCs w:val="21"/>
              </w:rPr>
            </w:pPr>
          </w:p>
        </w:tc>
      </w:tr>
      <w:tr>
        <w:tblPrEx>
          <w:tblW w:w="9066" w:type="dxa"/>
          <w:jc w:val="center"/>
          <w:tblLayout w:type="fixed"/>
          <w:tblCellMar>
            <w:top w:w="0" w:type="dxa"/>
            <w:left w:w="108" w:type="dxa"/>
            <w:bottom w:w="0" w:type="dxa"/>
            <w:right w:w="108" w:type="dxa"/>
          </w:tblCellMar>
        </w:tblPrEx>
        <w:trPr>
          <w:jc w:val="center"/>
        </w:trPr>
        <w:tc>
          <w:tcPr>
            <w:tcW w:w="1786" w:type="dxa"/>
            <w:tcBorders>
              <w:tl2br w:val="nil"/>
              <w:tr2bl w:val="nil"/>
            </w:tcBorders>
          </w:tcPr>
          <w:p>
            <w:pPr>
              <w:spacing w:before="120" w:after="120" w:line="360" w:lineRule="auto"/>
              <w:outlineLvl w:val="1"/>
              <w:rPr>
                <w:rFonts w:ascii="宋体" w:hAnsi="宋体" w:cs="宋体"/>
                <w:szCs w:val="21"/>
              </w:rPr>
            </w:pPr>
            <w:r>
              <w:rPr>
                <w:rFonts w:ascii="宋体" w:hAnsi="宋体" w:cs="宋体" w:hint="eastAsia"/>
                <w:szCs w:val="21"/>
              </w:rPr>
              <w:t>维修原因</w:t>
            </w:r>
          </w:p>
        </w:tc>
        <w:tc>
          <w:tcPr>
            <w:tcW w:w="7280" w:type="dxa"/>
            <w:gridSpan w:val="3"/>
            <w:tcBorders>
              <w:tl2br w:val="nil"/>
              <w:tr2bl w:val="nil"/>
            </w:tcBorders>
          </w:tcPr>
          <w:p>
            <w:pPr>
              <w:spacing w:before="120" w:after="120" w:line="360" w:lineRule="auto"/>
              <w:outlineLvl w:val="1"/>
              <w:rPr>
                <w:rFonts w:ascii="宋体" w:hAnsi="宋体" w:cs="宋体"/>
                <w:szCs w:val="21"/>
              </w:rPr>
            </w:pPr>
          </w:p>
        </w:tc>
      </w:tr>
      <w:tr>
        <w:tblPrEx>
          <w:tblW w:w="9066" w:type="dxa"/>
          <w:jc w:val="center"/>
          <w:tblLayout w:type="fixed"/>
          <w:tblCellMar>
            <w:top w:w="0" w:type="dxa"/>
            <w:left w:w="108" w:type="dxa"/>
            <w:bottom w:w="0" w:type="dxa"/>
            <w:right w:w="108" w:type="dxa"/>
          </w:tblCellMar>
        </w:tblPrEx>
        <w:trPr>
          <w:jc w:val="center"/>
        </w:trPr>
        <w:tc>
          <w:tcPr>
            <w:tcW w:w="1786" w:type="dxa"/>
            <w:tcBorders>
              <w:tl2br w:val="nil"/>
              <w:tr2bl w:val="nil"/>
            </w:tcBorders>
          </w:tcPr>
          <w:p>
            <w:pPr>
              <w:spacing w:before="120" w:after="120" w:line="360" w:lineRule="auto"/>
              <w:outlineLvl w:val="1"/>
              <w:rPr>
                <w:rFonts w:ascii="宋体" w:hAnsi="宋体" w:cs="宋体"/>
                <w:szCs w:val="21"/>
              </w:rPr>
            </w:pPr>
            <w:r>
              <w:rPr>
                <w:rFonts w:ascii="宋体" w:hAnsi="宋体" w:cs="宋体" w:hint="eastAsia"/>
                <w:szCs w:val="21"/>
              </w:rPr>
              <w:t>维修人员</w:t>
            </w:r>
          </w:p>
        </w:tc>
        <w:tc>
          <w:tcPr>
            <w:tcW w:w="7280" w:type="dxa"/>
            <w:gridSpan w:val="3"/>
            <w:tcBorders>
              <w:tl2br w:val="nil"/>
              <w:tr2bl w:val="nil"/>
            </w:tcBorders>
          </w:tcPr>
          <w:p>
            <w:pPr>
              <w:spacing w:before="120" w:after="120" w:line="360" w:lineRule="auto"/>
              <w:outlineLvl w:val="1"/>
              <w:rPr>
                <w:rFonts w:ascii="宋体" w:hAnsi="宋体" w:cs="宋体"/>
                <w:szCs w:val="21"/>
              </w:rPr>
            </w:pPr>
          </w:p>
        </w:tc>
      </w:tr>
      <w:tr>
        <w:tblPrEx>
          <w:tblW w:w="9066" w:type="dxa"/>
          <w:jc w:val="center"/>
          <w:tblLayout w:type="fixed"/>
          <w:tblCellMar>
            <w:top w:w="0" w:type="dxa"/>
            <w:left w:w="108" w:type="dxa"/>
            <w:bottom w:w="0" w:type="dxa"/>
            <w:right w:w="108" w:type="dxa"/>
          </w:tblCellMar>
        </w:tblPrEx>
        <w:trPr>
          <w:jc w:val="center"/>
        </w:trPr>
        <w:tc>
          <w:tcPr>
            <w:tcW w:w="1786" w:type="dxa"/>
            <w:tcBorders>
              <w:tl2br w:val="nil"/>
              <w:tr2bl w:val="nil"/>
            </w:tcBorders>
          </w:tcPr>
          <w:p>
            <w:pPr>
              <w:spacing w:before="120" w:after="120" w:line="360" w:lineRule="auto"/>
              <w:outlineLvl w:val="1"/>
              <w:rPr>
                <w:rFonts w:ascii="宋体" w:hAnsi="宋体" w:cs="宋体"/>
                <w:szCs w:val="21"/>
              </w:rPr>
            </w:pPr>
            <w:r>
              <w:rPr>
                <w:rFonts w:ascii="宋体" w:hAnsi="宋体" w:cs="宋体" w:hint="eastAsia"/>
                <w:szCs w:val="21"/>
              </w:rPr>
              <w:t>更换设施（详细资料）</w:t>
            </w:r>
          </w:p>
        </w:tc>
        <w:tc>
          <w:tcPr>
            <w:tcW w:w="7280" w:type="dxa"/>
            <w:gridSpan w:val="3"/>
            <w:tcBorders>
              <w:tl2br w:val="nil"/>
              <w:tr2bl w:val="nil"/>
            </w:tcBorders>
          </w:tcPr>
          <w:p>
            <w:pPr>
              <w:spacing w:before="120" w:after="120" w:line="360" w:lineRule="auto"/>
              <w:outlineLvl w:val="1"/>
              <w:rPr>
                <w:rFonts w:ascii="宋体" w:hAnsi="宋体" w:cs="宋体"/>
                <w:szCs w:val="21"/>
              </w:rPr>
            </w:pPr>
          </w:p>
        </w:tc>
      </w:tr>
      <w:tr>
        <w:tblPrEx>
          <w:tblW w:w="9066" w:type="dxa"/>
          <w:jc w:val="center"/>
          <w:tblLayout w:type="fixed"/>
          <w:tblCellMar>
            <w:top w:w="0" w:type="dxa"/>
            <w:left w:w="108" w:type="dxa"/>
            <w:bottom w:w="0" w:type="dxa"/>
            <w:right w:w="108" w:type="dxa"/>
          </w:tblCellMar>
        </w:tblPrEx>
        <w:trPr>
          <w:jc w:val="center"/>
        </w:trPr>
        <w:tc>
          <w:tcPr>
            <w:tcW w:w="1786" w:type="dxa"/>
            <w:tcBorders>
              <w:tl2br w:val="nil"/>
              <w:tr2bl w:val="nil"/>
            </w:tcBorders>
          </w:tcPr>
          <w:p>
            <w:pPr>
              <w:spacing w:before="120" w:after="120" w:line="360" w:lineRule="auto"/>
              <w:outlineLvl w:val="1"/>
              <w:rPr>
                <w:rFonts w:ascii="宋体" w:hAnsi="宋体" w:cs="宋体"/>
                <w:szCs w:val="21"/>
              </w:rPr>
            </w:pPr>
            <w:r>
              <w:rPr>
                <w:rFonts w:ascii="宋体" w:hAnsi="宋体" w:cs="宋体" w:hint="eastAsia"/>
                <w:szCs w:val="21"/>
              </w:rPr>
              <w:t>维修质量</w:t>
            </w:r>
          </w:p>
        </w:tc>
        <w:tc>
          <w:tcPr>
            <w:tcW w:w="7280" w:type="dxa"/>
            <w:gridSpan w:val="3"/>
            <w:tcBorders>
              <w:tl2br w:val="nil"/>
              <w:tr2bl w:val="nil"/>
            </w:tcBorders>
          </w:tcPr>
          <w:p>
            <w:pPr>
              <w:spacing w:before="120" w:after="120" w:line="360" w:lineRule="auto"/>
              <w:outlineLvl w:val="1"/>
              <w:rPr>
                <w:rFonts w:ascii="宋体" w:hAnsi="宋体" w:cs="宋体"/>
                <w:szCs w:val="21"/>
              </w:rPr>
            </w:pPr>
          </w:p>
        </w:tc>
      </w:tr>
      <w:tr>
        <w:tblPrEx>
          <w:tblW w:w="9066" w:type="dxa"/>
          <w:jc w:val="center"/>
          <w:tblLayout w:type="fixed"/>
          <w:tblCellMar>
            <w:top w:w="0" w:type="dxa"/>
            <w:left w:w="108" w:type="dxa"/>
            <w:bottom w:w="0" w:type="dxa"/>
            <w:right w:w="108" w:type="dxa"/>
          </w:tblCellMar>
        </w:tblPrEx>
        <w:trPr>
          <w:jc w:val="center"/>
        </w:trPr>
        <w:tc>
          <w:tcPr>
            <w:tcW w:w="1786" w:type="dxa"/>
            <w:tcBorders>
              <w:tl2br w:val="nil"/>
              <w:tr2bl w:val="nil"/>
            </w:tcBorders>
          </w:tcPr>
          <w:p>
            <w:pPr>
              <w:spacing w:before="120" w:after="120" w:line="360" w:lineRule="auto"/>
              <w:outlineLvl w:val="1"/>
              <w:rPr>
                <w:rFonts w:ascii="宋体" w:hAnsi="宋体" w:cs="宋体"/>
                <w:szCs w:val="21"/>
              </w:rPr>
            </w:pPr>
            <w:r>
              <w:rPr>
                <w:rFonts w:ascii="宋体" w:hAnsi="宋体" w:cs="宋体" w:hint="eastAsia"/>
                <w:szCs w:val="21"/>
              </w:rPr>
              <w:t>安全措施</w:t>
            </w:r>
          </w:p>
        </w:tc>
        <w:tc>
          <w:tcPr>
            <w:tcW w:w="7280" w:type="dxa"/>
            <w:gridSpan w:val="3"/>
            <w:tcBorders>
              <w:tl2br w:val="nil"/>
              <w:tr2bl w:val="nil"/>
            </w:tcBorders>
          </w:tcPr>
          <w:p>
            <w:pPr>
              <w:spacing w:before="120" w:after="120" w:line="360" w:lineRule="auto"/>
              <w:outlineLvl w:val="1"/>
              <w:rPr>
                <w:rFonts w:ascii="宋体" w:hAnsi="宋体" w:cs="宋体"/>
                <w:szCs w:val="21"/>
              </w:rPr>
            </w:pPr>
          </w:p>
        </w:tc>
      </w:tr>
      <w:tr>
        <w:tblPrEx>
          <w:tblW w:w="9066" w:type="dxa"/>
          <w:jc w:val="center"/>
          <w:tblLayout w:type="fixed"/>
          <w:tblCellMar>
            <w:top w:w="0" w:type="dxa"/>
            <w:left w:w="108" w:type="dxa"/>
            <w:bottom w:w="0" w:type="dxa"/>
            <w:right w:w="108" w:type="dxa"/>
          </w:tblCellMar>
        </w:tblPrEx>
        <w:trPr>
          <w:jc w:val="center"/>
        </w:trPr>
        <w:tc>
          <w:tcPr>
            <w:tcW w:w="9066" w:type="dxa"/>
            <w:gridSpan w:val="4"/>
            <w:tcBorders>
              <w:tl2br w:val="nil"/>
              <w:tr2bl w:val="nil"/>
            </w:tcBorders>
          </w:tcPr>
          <w:p>
            <w:pPr>
              <w:spacing w:before="120" w:after="120" w:line="360" w:lineRule="auto"/>
              <w:outlineLvl w:val="1"/>
              <w:rPr>
                <w:rFonts w:ascii="宋体" w:hAnsi="宋体" w:cs="宋体"/>
                <w:szCs w:val="21"/>
              </w:rPr>
            </w:pPr>
            <w:r>
              <w:rPr>
                <w:rFonts w:ascii="宋体" w:hAnsi="宋体" w:cs="宋体" w:hint="eastAsia"/>
                <w:szCs w:val="21"/>
              </w:rPr>
              <w:t>报告内容</w:t>
            </w:r>
          </w:p>
        </w:tc>
      </w:tr>
      <w:tr>
        <w:tblPrEx>
          <w:tblW w:w="9066" w:type="dxa"/>
          <w:jc w:val="center"/>
          <w:tblLayout w:type="fixed"/>
          <w:tblCellMar>
            <w:top w:w="0" w:type="dxa"/>
            <w:left w:w="108" w:type="dxa"/>
            <w:bottom w:w="0" w:type="dxa"/>
            <w:right w:w="108" w:type="dxa"/>
          </w:tblCellMar>
        </w:tblPrEx>
        <w:trPr>
          <w:jc w:val="center"/>
        </w:trPr>
        <w:tc>
          <w:tcPr>
            <w:tcW w:w="9066" w:type="dxa"/>
            <w:gridSpan w:val="4"/>
            <w:tcBorders>
              <w:tl2br w:val="nil"/>
              <w:tr2bl w:val="nil"/>
            </w:tcBorders>
          </w:tcPr>
          <w:p>
            <w:pPr>
              <w:spacing w:before="120" w:after="120" w:line="360" w:lineRule="auto"/>
              <w:outlineLvl w:val="1"/>
              <w:rPr>
                <w:rFonts w:ascii="宋体" w:hAnsi="宋体" w:cs="宋体"/>
                <w:szCs w:val="21"/>
              </w:rPr>
            </w:pPr>
          </w:p>
          <w:p>
            <w:pPr>
              <w:spacing w:before="120" w:after="120" w:line="360" w:lineRule="auto"/>
              <w:outlineLvl w:val="1"/>
              <w:rPr>
                <w:rFonts w:ascii="宋体" w:hAnsi="宋体" w:cs="宋体"/>
                <w:szCs w:val="21"/>
              </w:rPr>
            </w:pPr>
          </w:p>
          <w:p>
            <w:pPr>
              <w:spacing w:before="120" w:after="120" w:line="360" w:lineRule="auto"/>
              <w:outlineLvl w:val="1"/>
              <w:rPr>
                <w:rFonts w:ascii="宋体" w:hAnsi="宋体" w:cs="宋体"/>
                <w:szCs w:val="21"/>
              </w:rPr>
            </w:pPr>
          </w:p>
          <w:p>
            <w:pPr>
              <w:spacing w:before="120" w:after="120" w:line="360" w:lineRule="auto"/>
              <w:outlineLvl w:val="1"/>
              <w:rPr>
                <w:rFonts w:ascii="宋体" w:hAnsi="宋体" w:cs="宋体"/>
                <w:szCs w:val="21"/>
              </w:rPr>
            </w:pPr>
          </w:p>
        </w:tc>
      </w:tr>
      <w:tr>
        <w:tblPrEx>
          <w:tblW w:w="9066" w:type="dxa"/>
          <w:jc w:val="center"/>
          <w:tblLayout w:type="fixed"/>
          <w:tblCellMar>
            <w:top w:w="0" w:type="dxa"/>
            <w:left w:w="108" w:type="dxa"/>
            <w:bottom w:w="0" w:type="dxa"/>
            <w:right w:w="108" w:type="dxa"/>
          </w:tblCellMar>
        </w:tblPrEx>
        <w:trPr>
          <w:jc w:val="center"/>
        </w:trPr>
        <w:tc>
          <w:tcPr>
            <w:tcW w:w="9066" w:type="dxa"/>
            <w:gridSpan w:val="4"/>
            <w:tcBorders>
              <w:tl2br w:val="nil"/>
              <w:tr2bl w:val="nil"/>
            </w:tcBorders>
          </w:tcPr>
          <w:p>
            <w:pPr>
              <w:widowControl/>
              <w:spacing w:line="360" w:lineRule="auto"/>
              <w:ind w:firstLine="420" w:firstLineChars="200"/>
              <w:rPr>
                <w:rFonts w:ascii="宋体" w:hAnsi="宋体" w:cs="宋体"/>
                <w:bCs/>
                <w:kern w:val="0"/>
                <w:szCs w:val="21"/>
              </w:rPr>
            </w:pPr>
            <w:r>
              <w:rPr>
                <w:rFonts w:ascii="宋体" w:hAnsi="宋体" w:cs="宋体" w:hint="eastAsia"/>
                <w:bCs/>
                <w:kern w:val="0"/>
                <w:szCs w:val="21"/>
              </w:rPr>
              <w:t>备注：更换50米以上高压电缆、箱变、环网柜、变压器等需填写本报告。报告格式采购人可根据实际情况修改。</w:t>
            </w:r>
          </w:p>
        </w:tc>
      </w:tr>
    </w:tbl>
    <w:p>
      <w:pPr>
        <w:widowControl/>
        <w:spacing w:line="360" w:lineRule="auto"/>
        <w:jc w:val="left"/>
        <w:rPr>
          <w:rFonts w:ascii="宋体" w:hAnsi="宋体" w:cs="宋体"/>
          <w:b/>
          <w:kern w:val="0"/>
          <w:szCs w:val="21"/>
        </w:rPr>
      </w:pPr>
    </w:p>
    <w:p>
      <w:pPr>
        <w:widowControl/>
        <w:spacing w:line="240" w:lineRule="auto"/>
        <w:jc w:val="left"/>
        <w:rPr>
          <w:rFonts w:ascii="宋体" w:hAnsi="宋体" w:cs="宋体" w:hint="eastAsia"/>
          <w:b/>
          <w:kern w:val="0"/>
          <w:szCs w:val="21"/>
        </w:rPr>
      </w:pPr>
      <w:r>
        <w:rPr>
          <w:rFonts w:ascii="宋体" w:hAnsi="宋体" w:cs="宋体" w:hint="eastAsia"/>
          <w:b/>
          <w:kern w:val="0"/>
          <w:szCs w:val="21"/>
        </w:rPr>
        <w:br w:type="page"/>
      </w:r>
    </w:p>
    <w:p>
      <w:pPr>
        <w:widowControl/>
        <w:spacing w:line="360" w:lineRule="auto"/>
        <w:jc w:val="left"/>
        <w:rPr>
          <w:rFonts w:ascii="宋体" w:hAnsi="宋体" w:cs="宋体"/>
          <w:b/>
          <w:kern w:val="0"/>
          <w:szCs w:val="21"/>
        </w:rPr>
      </w:pPr>
      <w:r>
        <w:rPr>
          <w:rFonts w:ascii="宋体" w:hAnsi="宋体" w:cs="宋体" w:hint="eastAsia"/>
          <w:b/>
          <w:kern w:val="0"/>
          <w:szCs w:val="21"/>
        </w:rPr>
        <w:t>表4：抢修工作报告</w:t>
      </w:r>
    </w:p>
    <w:tbl>
      <w:tblPr>
        <w:tblStyle w:val="TableNormal"/>
        <w:tblW w:w="90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
      <w:tblGrid>
        <w:gridCol w:w="1908"/>
        <w:gridCol w:w="2379"/>
        <w:gridCol w:w="2379"/>
        <w:gridCol w:w="2380"/>
      </w:tblGrid>
      <w:tr>
        <w:tblPrEx>
          <w:tblW w:w="90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283"/>
          <w:jc w:val="center"/>
        </w:trPr>
        <w:tc>
          <w:tcPr>
            <w:tcW w:w="1908" w:type="dxa"/>
            <w:tcBorders>
              <w:tl2br w:val="nil"/>
              <w:tr2bl w:val="nil"/>
            </w:tcBorders>
            <w:vAlign w:val="top"/>
          </w:tcPr>
          <w:p>
            <w:pPr>
              <w:spacing w:before="120" w:after="120" w:line="360" w:lineRule="auto"/>
              <w:outlineLvl w:val="1"/>
              <w:rPr>
                <w:rFonts w:ascii="宋体" w:hAnsi="宋体" w:cs="宋体"/>
                <w:szCs w:val="21"/>
              </w:rPr>
            </w:pPr>
            <w:r>
              <w:rPr>
                <w:rFonts w:ascii="宋体" w:hAnsi="宋体" w:cs="宋体" w:hint="eastAsia"/>
                <w:szCs w:val="21"/>
              </w:rPr>
              <w:t>抢修内容</w:t>
            </w:r>
          </w:p>
        </w:tc>
        <w:tc>
          <w:tcPr>
            <w:tcW w:w="7138" w:type="dxa"/>
            <w:gridSpan w:val="3"/>
            <w:tcBorders>
              <w:tl2br w:val="nil"/>
              <w:tr2bl w:val="nil"/>
            </w:tcBorders>
            <w:vAlign w:val="top"/>
          </w:tcPr>
          <w:p>
            <w:pPr>
              <w:spacing w:before="120" w:after="120" w:line="360" w:lineRule="auto"/>
              <w:outlineLvl w:val="1"/>
              <w:rPr>
                <w:rFonts w:ascii="宋体" w:hAnsi="宋体" w:cs="宋体"/>
                <w:szCs w:val="21"/>
              </w:rPr>
            </w:pPr>
          </w:p>
        </w:tc>
      </w:tr>
      <w:tr>
        <w:tblPrEx>
          <w:tblW w:w="9046" w:type="dxa"/>
          <w:jc w:val="center"/>
          <w:tblLayout w:type="fixed"/>
          <w:tblCellMar>
            <w:top w:w="0" w:type="dxa"/>
            <w:left w:w="108" w:type="dxa"/>
            <w:bottom w:w="0" w:type="dxa"/>
            <w:right w:w="108" w:type="dxa"/>
          </w:tblCellMar>
        </w:tblPrEx>
        <w:trPr>
          <w:trHeight w:val="283"/>
          <w:jc w:val="center"/>
        </w:trPr>
        <w:tc>
          <w:tcPr>
            <w:tcW w:w="1908" w:type="dxa"/>
            <w:tcBorders>
              <w:tl2br w:val="nil"/>
              <w:tr2bl w:val="nil"/>
            </w:tcBorders>
            <w:vAlign w:val="top"/>
          </w:tcPr>
          <w:p>
            <w:pPr>
              <w:spacing w:before="120" w:after="120" w:line="360" w:lineRule="auto"/>
              <w:outlineLvl w:val="1"/>
              <w:rPr>
                <w:rFonts w:ascii="宋体" w:hAnsi="宋体" w:cs="宋体"/>
                <w:szCs w:val="21"/>
              </w:rPr>
            </w:pPr>
            <w:r>
              <w:rPr>
                <w:rFonts w:ascii="宋体" w:hAnsi="宋体" w:cs="宋体" w:hint="eastAsia"/>
                <w:szCs w:val="21"/>
              </w:rPr>
              <w:t>抢修地点（箱变、线路等信息）</w:t>
            </w:r>
          </w:p>
        </w:tc>
        <w:tc>
          <w:tcPr>
            <w:tcW w:w="7138" w:type="dxa"/>
            <w:gridSpan w:val="3"/>
            <w:tcBorders>
              <w:tl2br w:val="nil"/>
              <w:tr2bl w:val="nil"/>
            </w:tcBorders>
            <w:vAlign w:val="top"/>
          </w:tcPr>
          <w:p>
            <w:pPr>
              <w:spacing w:before="120" w:after="120" w:line="360" w:lineRule="auto"/>
              <w:outlineLvl w:val="1"/>
              <w:rPr>
                <w:rFonts w:ascii="宋体" w:hAnsi="宋体" w:cs="宋体"/>
                <w:szCs w:val="21"/>
              </w:rPr>
            </w:pPr>
          </w:p>
        </w:tc>
      </w:tr>
      <w:tr>
        <w:tblPrEx>
          <w:tblW w:w="9046" w:type="dxa"/>
          <w:jc w:val="center"/>
          <w:tblLayout w:type="fixed"/>
          <w:tblCellMar>
            <w:top w:w="0" w:type="dxa"/>
            <w:left w:w="108" w:type="dxa"/>
            <w:bottom w:w="0" w:type="dxa"/>
            <w:right w:w="108" w:type="dxa"/>
          </w:tblCellMar>
        </w:tblPrEx>
        <w:trPr>
          <w:trHeight w:val="283"/>
          <w:jc w:val="center"/>
        </w:trPr>
        <w:tc>
          <w:tcPr>
            <w:tcW w:w="1908" w:type="dxa"/>
            <w:tcBorders>
              <w:tl2br w:val="nil"/>
              <w:tr2bl w:val="nil"/>
            </w:tcBorders>
            <w:vAlign w:val="top"/>
          </w:tcPr>
          <w:p>
            <w:pPr>
              <w:spacing w:before="120" w:after="120" w:line="360" w:lineRule="auto"/>
              <w:outlineLvl w:val="1"/>
              <w:rPr>
                <w:rFonts w:ascii="宋体" w:hAnsi="宋体" w:cs="宋体"/>
                <w:szCs w:val="21"/>
              </w:rPr>
            </w:pPr>
            <w:r>
              <w:rPr>
                <w:rFonts w:ascii="宋体" w:hAnsi="宋体" w:cs="宋体" w:hint="eastAsia"/>
                <w:szCs w:val="21"/>
              </w:rPr>
              <w:t>接受故障通知方式</w:t>
            </w:r>
          </w:p>
        </w:tc>
        <w:tc>
          <w:tcPr>
            <w:tcW w:w="7138" w:type="dxa"/>
            <w:gridSpan w:val="3"/>
            <w:tcBorders>
              <w:tl2br w:val="nil"/>
              <w:tr2bl w:val="nil"/>
            </w:tcBorders>
            <w:vAlign w:val="top"/>
          </w:tcPr>
          <w:p>
            <w:pPr>
              <w:spacing w:before="120" w:after="120" w:line="360" w:lineRule="auto"/>
              <w:outlineLvl w:val="1"/>
              <w:rPr>
                <w:rFonts w:ascii="宋体" w:hAnsi="宋体" w:cs="宋体"/>
                <w:szCs w:val="21"/>
              </w:rPr>
            </w:pPr>
          </w:p>
        </w:tc>
      </w:tr>
      <w:tr>
        <w:tblPrEx>
          <w:tblW w:w="9046" w:type="dxa"/>
          <w:jc w:val="center"/>
          <w:tblLayout w:type="fixed"/>
          <w:tblCellMar>
            <w:top w:w="0" w:type="dxa"/>
            <w:left w:w="108" w:type="dxa"/>
            <w:bottom w:w="0" w:type="dxa"/>
            <w:right w:w="108" w:type="dxa"/>
          </w:tblCellMar>
        </w:tblPrEx>
        <w:trPr>
          <w:cantSplit/>
          <w:trHeight w:val="283"/>
          <w:jc w:val="center"/>
        </w:trPr>
        <w:tc>
          <w:tcPr>
            <w:tcW w:w="1908" w:type="dxa"/>
            <w:vMerge w:val="restart"/>
            <w:tcBorders>
              <w:tl2br w:val="nil"/>
              <w:tr2bl w:val="nil"/>
            </w:tcBorders>
            <w:vAlign w:val="top"/>
          </w:tcPr>
          <w:p>
            <w:pPr>
              <w:spacing w:before="120" w:after="120" w:line="360" w:lineRule="auto"/>
              <w:outlineLvl w:val="1"/>
              <w:rPr>
                <w:rFonts w:ascii="宋体" w:hAnsi="宋体" w:cs="宋体"/>
                <w:szCs w:val="21"/>
              </w:rPr>
            </w:pPr>
            <w:r>
              <w:rPr>
                <w:rFonts w:ascii="宋体" w:hAnsi="宋体" w:cs="宋体" w:hint="eastAsia"/>
                <w:szCs w:val="21"/>
              </w:rPr>
              <w:t>抢修时间</w:t>
            </w:r>
          </w:p>
        </w:tc>
        <w:tc>
          <w:tcPr>
            <w:tcW w:w="2379" w:type="dxa"/>
            <w:tcBorders>
              <w:tl2br w:val="nil"/>
              <w:tr2bl w:val="nil"/>
            </w:tcBorders>
            <w:vAlign w:val="top"/>
          </w:tcPr>
          <w:p>
            <w:pPr>
              <w:spacing w:before="120" w:after="120" w:line="360" w:lineRule="auto"/>
              <w:outlineLvl w:val="1"/>
              <w:rPr>
                <w:rFonts w:ascii="宋体" w:hAnsi="宋体" w:cs="宋体"/>
                <w:szCs w:val="21"/>
              </w:rPr>
            </w:pPr>
            <w:r>
              <w:rPr>
                <w:rFonts w:ascii="宋体" w:hAnsi="宋体" w:cs="宋体" w:hint="eastAsia"/>
                <w:szCs w:val="21"/>
              </w:rPr>
              <w:t>抢修开始时间</w:t>
            </w:r>
          </w:p>
        </w:tc>
        <w:tc>
          <w:tcPr>
            <w:tcW w:w="2379" w:type="dxa"/>
            <w:tcBorders>
              <w:tl2br w:val="nil"/>
              <w:tr2bl w:val="nil"/>
            </w:tcBorders>
            <w:vAlign w:val="top"/>
          </w:tcPr>
          <w:p>
            <w:pPr>
              <w:spacing w:before="120" w:after="120" w:line="360" w:lineRule="auto"/>
              <w:outlineLvl w:val="1"/>
              <w:rPr>
                <w:rFonts w:ascii="宋体" w:hAnsi="宋体" w:cs="宋体"/>
                <w:szCs w:val="21"/>
              </w:rPr>
            </w:pPr>
            <w:r>
              <w:rPr>
                <w:rFonts w:ascii="宋体" w:hAnsi="宋体" w:cs="宋体" w:hint="eastAsia"/>
                <w:szCs w:val="21"/>
              </w:rPr>
              <w:t>抢修完成时间</w:t>
            </w:r>
          </w:p>
        </w:tc>
        <w:tc>
          <w:tcPr>
            <w:tcW w:w="2380" w:type="dxa"/>
            <w:tcBorders>
              <w:tl2br w:val="nil"/>
              <w:tr2bl w:val="nil"/>
            </w:tcBorders>
            <w:vAlign w:val="top"/>
          </w:tcPr>
          <w:p>
            <w:pPr>
              <w:spacing w:before="120" w:after="120" w:line="360" w:lineRule="auto"/>
              <w:outlineLvl w:val="1"/>
              <w:rPr>
                <w:rFonts w:ascii="宋体" w:hAnsi="宋体" w:cs="宋体"/>
                <w:szCs w:val="21"/>
              </w:rPr>
            </w:pPr>
          </w:p>
        </w:tc>
      </w:tr>
      <w:tr>
        <w:tblPrEx>
          <w:tblW w:w="9046" w:type="dxa"/>
          <w:jc w:val="center"/>
          <w:tblLayout w:type="fixed"/>
          <w:tblCellMar>
            <w:top w:w="0" w:type="dxa"/>
            <w:left w:w="108" w:type="dxa"/>
            <w:bottom w:w="0" w:type="dxa"/>
            <w:right w:w="108" w:type="dxa"/>
          </w:tblCellMar>
        </w:tblPrEx>
        <w:trPr>
          <w:cantSplit/>
          <w:trHeight w:val="283"/>
          <w:jc w:val="center"/>
        </w:trPr>
        <w:tc>
          <w:tcPr>
            <w:tcW w:w="1908" w:type="dxa"/>
            <w:vMerge/>
            <w:tcBorders>
              <w:tl2br w:val="nil"/>
              <w:tr2bl w:val="nil"/>
            </w:tcBorders>
            <w:vAlign w:val="top"/>
          </w:tcPr>
          <w:p>
            <w:pPr>
              <w:rPr>
                <w:rFonts w:ascii="宋体" w:hAnsi="宋体" w:cs="宋体"/>
                <w:szCs w:val="21"/>
              </w:rPr>
            </w:pPr>
          </w:p>
        </w:tc>
        <w:tc>
          <w:tcPr>
            <w:tcW w:w="2379" w:type="dxa"/>
            <w:tcBorders>
              <w:tl2br w:val="nil"/>
              <w:tr2bl w:val="nil"/>
            </w:tcBorders>
            <w:vAlign w:val="top"/>
          </w:tcPr>
          <w:p>
            <w:pPr>
              <w:spacing w:before="120" w:after="120" w:line="360" w:lineRule="auto"/>
              <w:outlineLvl w:val="1"/>
              <w:rPr>
                <w:rFonts w:ascii="宋体" w:hAnsi="宋体" w:cs="宋体"/>
                <w:szCs w:val="21"/>
              </w:rPr>
            </w:pPr>
          </w:p>
        </w:tc>
        <w:tc>
          <w:tcPr>
            <w:tcW w:w="2379" w:type="dxa"/>
            <w:tcBorders>
              <w:tl2br w:val="nil"/>
              <w:tr2bl w:val="nil"/>
            </w:tcBorders>
            <w:vAlign w:val="top"/>
          </w:tcPr>
          <w:p>
            <w:pPr>
              <w:spacing w:before="120" w:after="120" w:line="360" w:lineRule="auto"/>
              <w:outlineLvl w:val="1"/>
              <w:rPr>
                <w:rFonts w:ascii="宋体" w:hAnsi="宋体" w:cs="宋体"/>
                <w:szCs w:val="21"/>
              </w:rPr>
            </w:pPr>
          </w:p>
        </w:tc>
        <w:tc>
          <w:tcPr>
            <w:tcW w:w="2380" w:type="dxa"/>
            <w:tcBorders>
              <w:tl2br w:val="nil"/>
              <w:tr2bl w:val="nil"/>
            </w:tcBorders>
            <w:vAlign w:val="top"/>
          </w:tcPr>
          <w:p>
            <w:pPr>
              <w:spacing w:before="120" w:after="120" w:line="360" w:lineRule="auto"/>
              <w:outlineLvl w:val="1"/>
              <w:rPr>
                <w:rFonts w:ascii="宋体" w:hAnsi="宋体" w:cs="宋体"/>
                <w:szCs w:val="21"/>
              </w:rPr>
            </w:pPr>
          </w:p>
        </w:tc>
      </w:tr>
      <w:tr>
        <w:tblPrEx>
          <w:tblW w:w="9046" w:type="dxa"/>
          <w:jc w:val="center"/>
          <w:tblLayout w:type="fixed"/>
          <w:tblCellMar>
            <w:top w:w="0" w:type="dxa"/>
            <w:left w:w="108" w:type="dxa"/>
            <w:bottom w:w="0" w:type="dxa"/>
            <w:right w:w="108" w:type="dxa"/>
          </w:tblCellMar>
        </w:tblPrEx>
        <w:trPr>
          <w:trHeight w:val="283"/>
          <w:jc w:val="center"/>
        </w:trPr>
        <w:tc>
          <w:tcPr>
            <w:tcW w:w="1908" w:type="dxa"/>
            <w:tcBorders>
              <w:tl2br w:val="nil"/>
              <w:tr2bl w:val="nil"/>
            </w:tcBorders>
            <w:vAlign w:val="top"/>
          </w:tcPr>
          <w:p>
            <w:pPr>
              <w:spacing w:before="120" w:after="120" w:line="360" w:lineRule="auto"/>
              <w:outlineLvl w:val="1"/>
              <w:rPr>
                <w:rFonts w:ascii="宋体" w:hAnsi="宋体" w:cs="宋体"/>
                <w:szCs w:val="21"/>
              </w:rPr>
            </w:pPr>
            <w:r>
              <w:rPr>
                <w:rFonts w:ascii="宋体" w:hAnsi="宋体" w:cs="宋体" w:hint="eastAsia"/>
                <w:szCs w:val="21"/>
              </w:rPr>
              <w:t>故障原因</w:t>
            </w:r>
          </w:p>
        </w:tc>
        <w:tc>
          <w:tcPr>
            <w:tcW w:w="7138" w:type="dxa"/>
            <w:gridSpan w:val="3"/>
            <w:tcBorders>
              <w:tl2br w:val="nil"/>
              <w:tr2bl w:val="nil"/>
            </w:tcBorders>
            <w:vAlign w:val="top"/>
          </w:tcPr>
          <w:p>
            <w:pPr>
              <w:spacing w:before="120" w:after="120" w:line="360" w:lineRule="auto"/>
              <w:outlineLvl w:val="1"/>
              <w:rPr>
                <w:rFonts w:ascii="宋体" w:hAnsi="宋体" w:cs="宋体"/>
                <w:szCs w:val="21"/>
              </w:rPr>
            </w:pPr>
          </w:p>
        </w:tc>
      </w:tr>
      <w:tr>
        <w:tblPrEx>
          <w:tblW w:w="9046" w:type="dxa"/>
          <w:jc w:val="center"/>
          <w:tblLayout w:type="fixed"/>
          <w:tblCellMar>
            <w:top w:w="0" w:type="dxa"/>
            <w:left w:w="108" w:type="dxa"/>
            <w:bottom w:w="0" w:type="dxa"/>
            <w:right w:w="108" w:type="dxa"/>
          </w:tblCellMar>
        </w:tblPrEx>
        <w:trPr>
          <w:trHeight w:val="283"/>
          <w:jc w:val="center"/>
        </w:trPr>
        <w:tc>
          <w:tcPr>
            <w:tcW w:w="1908" w:type="dxa"/>
            <w:tcBorders>
              <w:tl2br w:val="nil"/>
              <w:tr2bl w:val="nil"/>
            </w:tcBorders>
            <w:vAlign w:val="top"/>
          </w:tcPr>
          <w:p>
            <w:pPr>
              <w:spacing w:before="120" w:after="120" w:line="360" w:lineRule="auto"/>
              <w:outlineLvl w:val="1"/>
              <w:rPr>
                <w:rFonts w:ascii="宋体" w:hAnsi="宋体" w:cs="宋体"/>
                <w:szCs w:val="21"/>
              </w:rPr>
            </w:pPr>
            <w:r>
              <w:rPr>
                <w:rFonts w:ascii="宋体" w:hAnsi="宋体" w:cs="宋体" w:hint="eastAsia"/>
                <w:szCs w:val="21"/>
              </w:rPr>
              <w:t>影响范围或数量</w:t>
            </w:r>
          </w:p>
        </w:tc>
        <w:tc>
          <w:tcPr>
            <w:tcW w:w="7138" w:type="dxa"/>
            <w:gridSpan w:val="3"/>
            <w:tcBorders>
              <w:tl2br w:val="nil"/>
              <w:tr2bl w:val="nil"/>
            </w:tcBorders>
            <w:vAlign w:val="top"/>
          </w:tcPr>
          <w:p>
            <w:pPr>
              <w:spacing w:before="120" w:after="120" w:line="360" w:lineRule="auto"/>
              <w:outlineLvl w:val="1"/>
              <w:rPr>
                <w:rFonts w:ascii="宋体" w:hAnsi="宋体" w:cs="宋体"/>
                <w:szCs w:val="21"/>
              </w:rPr>
            </w:pPr>
          </w:p>
        </w:tc>
      </w:tr>
      <w:tr>
        <w:tblPrEx>
          <w:tblW w:w="9046" w:type="dxa"/>
          <w:jc w:val="center"/>
          <w:tblLayout w:type="fixed"/>
          <w:tblCellMar>
            <w:top w:w="0" w:type="dxa"/>
            <w:left w:w="108" w:type="dxa"/>
            <w:bottom w:w="0" w:type="dxa"/>
            <w:right w:w="108" w:type="dxa"/>
          </w:tblCellMar>
        </w:tblPrEx>
        <w:trPr>
          <w:trHeight w:val="283"/>
          <w:jc w:val="center"/>
        </w:trPr>
        <w:tc>
          <w:tcPr>
            <w:tcW w:w="1908" w:type="dxa"/>
            <w:tcBorders>
              <w:tl2br w:val="nil"/>
              <w:tr2bl w:val="nil"/>
            </w:tcBorders>
            <w:vAlign w:val="top"/>
          </w:tcPr>
          <w:p>
            <w:pPr>
              <w:spacing w:before="120" w:after="120" w:line="360" w:lineRule="auto"/>
              <w:outlineLvl w:val="1"/>
              <w:rPr>
                <w:rFonts w:ascii="宋体" w:hAnsi="宋体" w:cs="宋体"/>
                <w:szCs w:val="21"/>
              </w:rPr>
            </w:pPr>
            <w:r>
              <w:rPr>
                <w:rFonts w:ascii="宋体" w:hAnsi="宋体" w:cs="宋体" w:hint="eastAsia"/>
                <w:szCs w:val="21"/>
              </w:rPr>
              <w:t>抢修人员</w:t>
            </w:r>
          </w:p>
        </w:tc>
        <w:tc>
          <w:tcPr>
            <w:tcW w:w="7138" w:type="dxa"/>
            <w:gridSpan w:val="3"/>
            <w:tcBorders>
              <w:tl2br w:val="nil"/>
              <w:tr2bl w:val="nil"/>
            </w:tcBorders>
            <w:vAlign w:val="top"/>
          </w:tcPr>
          <w:p>
            <w:pPr>
              <w:spacing w:before="120" w:after="120" w:line="360" w:lineRule="auto"/>
              <w:outlineLvl w:val="1"/>
              <w:rPr>
                <w:rFonts w:ascii="宋体" w:hAnsi="宋体" w:cs="宋体"/>
                <w:szCs w:val="21"/>
              </w:rPr>
            </w:pPr>
          </w:p>
        </w:tc>
      </w:tr>
      <w:tr>
        <w:tblPrEx>
          <w:tblW w:w="9046" w:type="dxa"/>
          <w:jc w:val="center"/>
          <w:tblLayout w:type="fixed"/>
          <w:tblCellMar>
            <w:top w:w="0" w:type="dxa"/>
            <w:left w:w="108" w:type="dxa"/>
            <w:bottom w:w="0" w:type="dxa"/>
            <w:right w:w="108" w:type="dxa"/>
          </w:tblCellMar>
        </w:tblPrEx>
        <w:trPr>
          <w:trHeight w:val="283"/>
          <w:jc w:val="center"/>
        </w:trPr>
        <w:tc>
          <w:tcPr>
            <w:tcW w:w="1908" w:type="dxa"/>
            <w:tcBorders>
              <w:tl2br w:val="nil"/>
              <w:tr2bl w:val="nil"/>
            </w:tcBorders>
            <w:vAlign w:val="top"/>
          </w:tcPr>
          <w:p>
            <w:pPr>
              <w:spacing w:before="120" w:after="120" w:line="360" w:lineRule="auto"/>
              <w:outlineLvl w:val="1"/>
              <w:rPr>
                <w:rFonts w:ascii="宋体" w:hAnsi="宋体" w:cs="宋体"/>
                <w:szCs w:val="21"/>
              </w:rPr>
            </w:pPr>
            <w:r>
              <w:rPr>
                <w:rFonts w:ascii="宋体" w:hAnsi="宋体" w:cs="宋体" w:hint="eastAsia"/>
                <w:szCs w:val="21"/>
              </w:rPr>
              <w:t>更换设施（详细资料）</w:t>
            </w:r>
          </w:p>
        </w:tc>
        <w:tc>
          <w:tcPr>
            <w:tcW w:w="7138" w:type="dxa"/>
            <w:gridSpan w:val="3"/>
            <w:tcBorders>
              <w:tl2br w:val="nil"/>
              <w:tr2bl w:val="nil"/>
            </w:tcBorders>
            <w:vAlign w:val="top"/>
          </w:tcPr>
          <w:p>
            <w:pPr>
              <w:spacing w:before="120" w:after="120" w:line="360" w:lineRule="auto"/>
              <w:outlineLvl w:val="1"/>
              <w:rPr>
                <w:rFonts w:ascii="宋体" w:hAnsi="宋体" w:cs="宋体"/>
                <w:szCs w:val="21"/>
              </w:rPr>
            </w:pPr>
          </w:p>
        </w:tc>
      </w:tr>
      <w:tr>
        <w:tblPrEx>
          <w:tblW w:w="9046" w:type="dxa"/>
          <w:jc w:val="center"/>
          <w:tblLayout w:type="fixed"/>
          <w:tblCellMar>
            <w:top w:w="0" w:type="dxa"/>
            <w:left w:w="108" w:type="dxa"/>
            <w:bottom w:w="0" w:type="dxa"/>
            <w:right w:w="108" w:type="dxa"/>
          </w:tblCellMar>
        </w:tblPrEx>
        <w:trPr>
          <w:trHeight w:val="283"/>
          <w:jc w:val="center"/>
        </w:trPr>
        <w:tc>
          <w:tcPr>
            <w:tcW w:w="1908" w:type="dxa"/>
            <w:tcBorders>
              <w:tl2br w:val="nil"/>
              <w:tr2bl w:val="nil"/>
            </w:tcBorders>
            <w:vAlign w:val="top"/>
          </w:tcPr>
          <w:p>
            <w:pPr>
              <w:spacing w:before="120" w:after="120" w:line="360" w:lineRule="auto"/>
              <w:outlineLvl w:val="1"/>
              <w:rPr>
                <w:rFonts w:ascii="宋体" w:hAnsi="宋体" w:cs="宋体"/>
                <w:szCs w:val="21"/>
              </w:rPr>
            </w:pPr>
            <w:r>
              <w:rPr>
                <w:rFonts w:ascii="宋体" w:hAnsi="宋体" w:cs="宋体" w:hint="eastAsia"/>
                <w:szCs w:val="21"/>
              </w:rPr>
              <w:t>抢修质量</w:t>
            </w:r>
          </w:p>
        </w:tc>
        <w:tc>
          <w:tcPr>
            <w:tcW w:w="7138" w:type="dxa"/>
            <w:gridSpan w:val="3"/>
            <w:tcBorders>
              <w:tl2br w:val="nil"/>
              <w:tr2bl w:val="nil"/>
            </w:tcBorders>
            <w:vAlign w:val="top"/>
          </w:tcPr>
          <w:p>
            <w:pPr>
              <w:spacing w:before="120" w:after="120" w:line="360" w:lineRule="auto"/>
              <w:outlineLvl w:val="1"/>
              <w:rPr>
                <w:rFonts w:ascii="宋体" w:hAnsi="宋体" w:cs="宋体"/>
                <w:szCs w:val="21"/>
              </w:rPr>
            </w:pPr>
          </w:p>
        </w:tc>
      </w:tr>
      <w:tr>
        <w:tblPrEx>
          <w:tblW w:w="9046" w:type="dxa"/>
          <w:jc w:val="center"/>
          <w:tblLayout w:type="fixed"/>
          <w:tblCellMar>
            <w:top w:w="0" w:type="dxa"/>
            <w:left w:w="108" w:type="dxa"/>
            <w:bottom w:w="0" w:type="dxa"/>
            <w:right w:w="108" w:type="dxa"/>
          </w:tblCellMar>
        </w:tblPrEx>
        <w:trPr>
          <w:trHeight w:val="283"/>
          <w:jc w:val="center"/>
        </w:trPr>
        <w:tc>
          <w:tcPr>
            <w:tcW w:w="1908" w:type="dxa"/>
            <w:tcBorders>
              <w:tl2br w:val="nil"/>
              <w:tr2bl w:val="nil"/>
            </w:tcBorders>
            <w:vAlign w:val="top"/>
          </w:tcPr>
          <w:p>
            <w:pPr>
              <w:spacing w:before="120" w:after="120" w:line="360" w:lineRule="auto"/>
              <w:outlineLvl w:val="1"/>
              <w:rPr>
                <w:rFonts w:ascii="宋体" w:hAnsi="宋体" w:cs="宋体"/>
                <w:szCs w:val="21"/>
              </w:rPr>
            </w:pPr>
            <w:r>
              <w:rPr>
                <w:rFonts w:ascii="宋体" w:hAnsi="宋体" w:cs="宋体" w:hint="eastAsia"/>
                <w:szCs w:val="21"/>
              </w:rPr>
              <w:t>安全措施</w:t>
            </w:r>
          </w:p>
        </w:tc>
        <w:tc>
          <w:tcPr>
            <w:tcW w:w="7138" w:type="dxa"/>
            <w:gridSpan w:val="3"/>
            <w:tcBorders>
              <w:tl2br w:val="nil"/>
              <w:tr2bl w:val="nil"/>
            </w:tcBorders>
            <w:vAlign w:val="top"/>
          </w:tcPr>
          <w:p>
            <w:pPr>
              <w:spacing w:before="120" w:after="120" w:line="360" w:lineRule="auto"/>
              <w:outlineLvl w:val="1"/>
              <w:rPr>
                <w:rFonts w:ascii="宋体" w:hAnsi="宋体" w:cs="宋体"/>
                <w:szCs w:val="21"/>
              </w:rPr>
            </w:pPr>
          </w:p>
        </w:tc>
      </w:tr>
      <w:tr>
        <w:tblPrEx>
          <w:tblW w:w="9046" w:type="dxa"/>
          <w:jc w:val="center"/>
          <w:tblLayout w:type="fixed"/>
          <w:tblCellMar>
            <w:top w:w="0" w:type="dxa"/>
            <w:left w:w="108" w:type="dxa"/>
            <w:bottom w:w="0" w:type="dxa"/>
            <w:right w:w="108" w:type="dxa"/>
          </w:tblCellMar>
        </w:tblPrEx>
        <w:trPr>
          <w:trHeight w:val="283"/>
          <w:jc w:val="center"/>
        </w:trPr>
        <w:tc>
          <w:tcPr>
            <w:tcW w:w="9046" w:type="dxa"/>
            <w:gridSpan w:val="4"/>
            <w:tcBorders>
              <w:tl2br w:val="nil"/>
              <w:tr2bl w:val="nil"/>
            </w:tcBorders>
            <w:vAlign w:val="top"/>
          </w:tcPr>
          <w:p>
            <w:pPr>
              <w:spacing w:before="120" w:after="120" w:line="360" w:lineRule="auto"/>
              <w:outlineLvl w:val="1"/>
              <w:rPr>
                <w:rFonts w:ascii="宋体" w:hAnsi="宋体" w:cs="宋体"/>
                <w:szCs w:val="21"/>
              </w:rPr>
            </w:pPr>
            <w:r>
              <w:rPr>
                <w:rFonts w:ascii="宋体" w:hAnsi="宋体" w:cs="宋体" w:hint="eastAsia"/>
                <w:szCs w:val="21"/>
              </w:rPr>
              <w:t>抢修报告内容</w:t>
            </w:r>
          </w:p>
        </w:tc>
      </w:tr>
    </w:tbl>
    <w:p>
      <w:pPr>
        <w:pStyle w:val="NormalWeb"/>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bCs/>
          <w:sz w:val="21"/>
          <w:szCs w:val="21"/>
        </w:rPr>
      </w:pPr>
      <w:r>
        <w:rPr>
          <w:rFonts w:hint="eastAsia"/>
          <w:bCs/>
          <w:sz w:val="21"/>
          <w:szCs w:val="21"/>
        </w:rPr>
        <w:t>备注：故障影响2台（含）以上箱变需填写此报告。报告格式采购人可根据实际情况</w:t>
      </w:r>
    </w:p>
    <w:p>
      <w:pPr>
        <w:widowControl/>
        <w:spacing w:line="360" w:lineRule="auto"/>
        <w:jc w:val="left"/>
        <w:rPr>
          <w:rFonts w:ascii="宋体" w:hAnsi="宋体" w:cs="宋体"/>
          <w:b/>
          <w:kern w:val="0"/>
          <w:szCs w:val="21"/>
        </w:rPr>
      </w:pPr>
    </w:p>
    <w:p>
      <w:pPr>
        <w:rPr>
          <w:rFonts w:hint="eastAsia"/>
          <w:b/>
          <w:sz w:val="21"/>
          <w:szCs w:val="21"/>
        </w:rPr>
      </w:pPr>
      <w:r>
        <w:rPr>
          <w:rFonts w:hint="eastAsia"/>
          <w:b/>
          <w:sz w:val="21"/>
          <w:szCs w:val="21"/>
        </w:rPr>
        <w:br w:type="page"/>
      </w:r>
    </w:p>
    <w:p>
      <w:pPr>
        <w:pStyle w:val="NormalWeb"/>
        <w:spacing w:before="0" w:beforeAutospacing="0" w:after="0" w:afterAutospacing="0" w:line="360" w:lineRule="auto"/>
        <w:rPr>
          <w:bCs/>
          <w:sz w:val="21"/>
          <w:szCs w:val="21"/>
        </w:rPr>
      </w:pPr>
      <w:r>
        <w:rPr>
          <w:rFonts w:hint="eastAsia"/>
          <w:b/>
          <w:sz w:val="21"/>
          <w:szCs w:val="21"/>
        </w:rPr>
        <w:t>表5：箱变、配电房巡查记录表</w:t>
      </w:r>
    </w:p>
    <w:tbl>
      <w:tblPr>
        <w:tblStyle w:val="TableNormal"/>
        <w:tblW w:w="89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0" w:type="dxa"/>
          <w:bottom w:w="0" w:type="dxa"/>
          <w:right w:w="0" w:type="dxa"/>
        </w:tblCellMar>
      </w:tblPr>
      <w:tblGrid>
        <w:gridCol w:w="2010"/>
        <w:gridCol w:w="3104"/>
        <w:gridCol w:w="1293"/>
        <w:gridCol w:w="1293"/>
        <w:gridCol w:w="1293"/>
      </w:tblGrid>
      <w:tr>
        <w:tblPrEx>
          <w:tblW w:w="89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0" w:type="dxa"/>
            <w:bottom w:w="0" w:type="dxa"/>
            <w:right w:w="0" w:type="dxa"/>
          </w:tblCellMar>
        </w:tblPrEx>
        <w:trPr>
          <w:trHeight w:val="283"/>
          <w:jc w:val="center"/>
        </w:trPr>
        <w:tc>
          <w:tcPr>
            <w:tcW w:w="5114" w:type="dxa"/>
            <w:gridSpan w:val="2"/>
            <w:tcBorders>
              <w:tl2br w:val="nil"/>
              <w:tr2bl w:val="nil"/>
            </w:tcBorders>
            <w:tcMar>
              <w:top w:w="15" w:type="dxa"/>
              <w:left w:w="15" w:type="dxa"/>
              <w:right w:w="15" w:type="dxa"/>
            </w:tcMar>
            <w:vAlign w:val="center"/>
          </w:tcPr>
          <w:p>
            <w:pPr>
              <w:widowControl/>
              <w:jc w:val="left"/>
              <w:textAlignment w:val="center"/>
              <w:rPr>
                <w:rFonts w:ascii="宋体" w:hAnsi="宋体" w:cs="宋体"/>
                <w:szCs w:val="21"/>
              </w:rPr>
            </w:pPr>
            <w:r>
              <w:rPr>
                <w:rFonts w:ascii="宋体" w:hAnsi="宋体" w:cs="宋体" w:hint="eastAsia"/>
                <w:kern w:val="0"/>
                <w:szCs w:val="21"/>
              </w:rPr>
              <w:t>箱变/配电房名称:</w:t>
            </w:r>
          </w:p>
        </w:tc>
        <w:tc>
          <w:tcPr>
            <w:tcW w:w="3879" w:type="dxa"/>
            <w:gridSpan w:val="3"/>
            <w:tcBorders>
              <w:tl2br w:val="nil"/>
              <w:tr2bl w:val="nil"/>
            </w:tcBorders>
            <w:tcMar>
              <w:top w:w="15" w:type="dxa"/>
              <w:left w:w="15" w:type="dxa"/>
              <w:right w:w="15" w:type="dxa"/>
            </w:tcMar>
            <w:vAlign w:val="center"/>
          </w:tcPr>
          <w:p>
            <w:pPr>
              <w:widowControl/>
              <w:jc w:val="left"/>
              <w:textAlignment w:val="center"/>
              <w:rPr>
                <w:rFonts w:ascii="宋体" w:hAnsi="宋体" w:cs="宋体"/>
                <w:szCs w:val="21"/>
              </w:rPr>
            </w:pPr>
            <w:r>
              <w:rPr>
                <w:rFonts w:ascii="宋体" w:hAnsi="宋体" w:cs="宋体" w:hint="eastAsia"/>
                <w:kern w:val="0"/>
                <w:szCs w:val="21"/>
              </w:rPr>
              <w:t>地址:</w:t>
            </w:r>
          </w:p>
        </w:tc>
      </w:tr>
      <w:tr>
        <w:tblPrEx>
          <w:tblW w:w="8993" w:type="dxa"/>
          <w:jc w:val="center"/>
          <w:tblLayout w:type="fixed"/>
          <w:tblCellMar>
            <w:top w:w="0" w:type="dxa"/>
            <w:left w:w="0" w:type="dxa"/>
            <w:bottom w:w="0" w:type="dxa"/>
            <w:right w:w="0" w:type="dxa"/>
          </w:tblCellMar>
        </w:tblPrEx>
        <w:trPr>
          <w:trHeight w:val="283"/>
          <w:jc w:val="center"/>
        </w:trPr>
        <w:tc>
          <w:tcPr>
            <w:tcW w:w="5114" w:type="dxa"/>
            <w:gridSpan w:val="2"/>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检查项目</w:t>
            </w: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月</w:t>
            </w: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月</w:t>
            </w: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月</w:t>
            </w: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val="restart"/>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周边环境</w:t>
            </w: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箱变周边及内部无垃圾</w:t>
            </w:r>
            <w:r>
              <w:rPr>
                <w:rFonts w:ascii="宋体" w:hAnsi="宋体" w:cs="宋体" w:hint="eastAsia"/>
                <w:bCs/>
                <w:kern w:val="0"/>
                <w:szCs w:val="21"/>
              </w:rPr>
              <w:t>、灰尘等</w:t>
            </w: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tcBorders>
              <w:tl2br w:val="nil"/>
              <w:tr2bl w:val="nil"/>
            </w:tcBorders>
            <w:tcMar>
              <w:top w:w="15" w:type="dxa"/>
              <w:left w:w="15" w:type="dxa"/>
              <w:right w:w="15" w:type="dxa"/>
            </w:tcMar>
            <w:vAlign w:val="center"/>
          </w:tcPr>
          <w:p>
            <w:pPr>
              <w:rPr>
                <w:rFonts w:ascii="宋体" w:hAnsi="宋体" w:cs="宋体"/>
                <w:szCs w:val="21"/>
              </w:rPr>
            </w:pP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箱变内是否存在漏水情况</w:t>
            </w: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tcBorders>
              <w:tl2br w:val="nil"/>
              <w:tr2bl w:val="nil"/>
            </w:tcBorders>
            <w:tcMar>
              <w:top w:w="15" w:type="dxa"/>
              <w:left w:w="15" w:type="dxa"/>
              <w:right w:w="15" w:type="dxa"/>
            </w:tcMar>
            <w:vAlign w:val="center"/>
          </w:tcPr>
          <w:p>
            <w:pPr>
              <w:rPr>
                <w:rFonts w:ascii="宋体" w:hAnsi="宋体" w:cs="宋体"/>
                <w:szCs w:val="21"/>
              </w:rPr>
            </w:pP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无树枝、蔓藤植物接近带电体等</w:t>
            </w: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c>
          <w:tcPr>
            <w:tcW w:w="3104" w:type="dxa"/>
            <w:tcBorders>
              <w:tl2br w:val="nil"/>
              <w:tr2bl w:val="nil"/>
            </w:tcBorders>
            <w:tcMar>
              <w:top w:w="15" w:type="dxa"/>
              <w:left w:w="15" w:type="dxa"/>
              <w:right w:w="15" w:type="dxa"/>
            </w:tcMar>
            <w:vAlign w:val="center"/>
          </w:tcPr>
          <w:p>
            <w:pPr>
              <w:widowControl/>
              <w:tabs>
                <w:tab w:val="left" w:pos="293"/>
              </w:tabs>
              <w:jc w:val="left"/>
              <w:textAlignment w:val="center"/>
              <w:rPr>
                <w:rFonts w:ascii="宋体" w:hAnsi="宋体" w:cs="宋体"/>
                <w:kern w:val="0"/>
                <w:szCs w:val="21"/>
              </w:rPr>
            </w:pPr>
            <w:r>
              <w:rPr>
                <w:rFonts w:ascii="宋体" w:hAnsi="宋体" w:cs="宋体" w:hint="eastAsia"/>
                <w:kern w:val="0"/>
                <w:szCs w:val="21"/>
              </w:rPr>
              <w:tab/>
            </w:r>
            <w:r>
              <w:rPr>
                <w:rFonts w:ascii="宋体" w:hAnsi="宋体" w:cs="宋体" w:hint="eastAsia"/>
                <w:kern w:val="0"/>
                <w:szCs w:val="21"/>
              </w:rPr>
              <w:t>箱变基础无破损</w:t>
            </w:r>
            <w:r>
              <w:rPr>
                <w:rFonts w:ascii="宋体" w:hAnsi="宋体" w:cs="宋体" w:hint="eastAsia"/>
                <w:bCs/>
                <w:kern w:val="0"/>
                <w:szCs w:val="21"/>
              </w:rPr>
              <w:t>、塌方等情况</w:t>
            </w: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val="restart"/>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围栏和标识</w:t>
            </w: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围栏情况</w:t>
            </w: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tcBorders>
              <w:tl2br w:val="nil"/>
              <w:tr2bl w:val="nil"/>
            </w:tcBorders>
            <w:tcMar>
              <w:top w:w="15" w:type="dxa"/>
              <w:left w:w="15" w:type="dxa"/>
              <w:right w:w="15" w:type="dxa"/>
            </w:tcMar>
            <w:vAlign w:val="center"/>
          </w:tcPr>
          <w:p>
            <w:pPr>
              <w:rPr>
                <w:rFonts w:ascii="宋体" w:hAnsi="宋体" w:cs="宋体"/>
                <w:szCs w:val="21"/>
              </w:rPr>
            </w:pP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警示标识正确清晰</w:t>
            </w: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val="restart"/>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防盗情况</w:t>
            </w: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锁具完好</w:t>
            </w: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tcBorders>
              <w:tl2br w:val="nil"/>
              <w:tr2bl w:val="nil"/>
            </w:tcBorders>
            <w:tcMar>
              <w:top w:w="15" w:type="dxa"/>
              <w:left w:w="15" w:type="dxa"/>
              <w:right w:w="15" w:type="dxa"/>
            </w:tcMar>
            <w:vAlign w:val="center"/>
          </w:tcPr>
          <w:p>
            <w:pPr>
              <w:rPr>
                <w:rFonts w:ascii="宋体" w:hAnsi="宋体" w:cs="宋体"/>
                <w:szCs w:val="21"/>
              </w:rPr>
            </w:pP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防盗设施</w:t>
            </w: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照明</w:t>
            </w: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照明情况</w:t>
            </w: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消防</w:t>
            </w: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防（灭）火设施</w:t>
            </w: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val="restart"/>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r>
              <w:rPr>
                <w:rFonts w:ascii="宋体" w:hAnsi="宋体" w:cs="宋体" w:hint="eastAsia"/>
                <w:kern w:val="0"/>
                <w:szCs w:val="21"/>
              </w:rPr>
              <w:t>继电保护装置</w:t>
            </w: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r>
              <w:rPr>
                <w:rFonts w:ascii="宋体" w:hAnsi="宋体" w:cs="宋体" w:hint="eastAsia"/>
                <w:kern w:val="0"/>
                <w:szCs w:val="21"/>
              </w:rPr>
              <w:t>UPS供电正常，无报警信号</w:t>
            </w: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r>
              <w:rPr>
                <w:rFonts w:ascii="宋体" w:hAnsi="宋体" w:cs="宋体" w:hint="eastAsia"/>
                <w:kern w:val="0"/>
                <w:szCs w:val="21"/>
              </w:rPr>
              <w:t>零序</w:t>
            </w:r>
            <w:r>
              <w:rPr>
                <w:rFonts w:ascii="宋体" w:hAnsi="宋体" w:cs="宋体" w:hint="eastAsia"/>
                <w:bCs/>
                <w:kern w:val="0"/>
                <w:szCs w:val="21"/>
              </w:rPr>
              <w:t>、</w:t>
            </w:r>
            <w:r>
              <w:rPr>
                <w:rFonts w:ascii="宋体" w:hAnsi="宋体" w:cs="宋体" w:hint="eastAsia"/>
                <w:kern w:val="0"/>
                <w:szCs w:val="21"/>
              </w:rPr>
              <w:t>过流</w:t>
            </w:r>
            <w:r>
              <w:rPr>
                <w:rFonts w:ascii="宋体" w:hAnsi="宋体" w:cs="宋体" w:hint="eastAsia"/>
                <w:bCs/>
                <w:kern w:val="0"/>
                <w:szCs w:val="21"/>
              </w:rPr>
              <w:t>、</w:t>
            </w:r>
            <w:r>
              <w:rPr>
                <w:rFonts w:ascii="宋体" w:hAnsi="宋体" w:cs="宋体" w:hint="eastAsia"/>
                <w:kern w:val="0"/>
                <w:szCs w:val="21"/>
              </w:rPr>
              <w:t>速断保护读数核对正常</w:t>
            </w: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r>
              <w:rPr>
                <w:rFonts w:ascii="宋体" w:hAnsi="宋体" w:cs="宋体" w:hint="eastAsia"/>
                <w:kern w:val="0"/>
                <w:szCs w:val="21"/>
              </w:rPr>
              <w:t>按键操作设置正常</w:t>
            </w: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r>
              <w:rPr>
                <w:rFonts w:ascii="宋体" w:hAnsi="宋体" w:cs="宋体" w:hint="eastAsia"/>
                <w:kern w:val="0"/>
                <w:szCs w:val="21"/>
              </w:rPr>
              <w:t>母排检测</w:t>
            </w: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kern w:val="0"/>
                <w:szCs w:val="21"/>
              </w:rPr>
            </w:pPr>
            <w:r>
              <w:rPr>
                <w:rFonts w:ascii="宋体" w:hAnsi="宋体" w:cs="宋体" w:hint="eastAsia"/>
                <w:kern w:val="0"/>
                <w:szCs w:val="21"/>
              </w:rPr>
              <w:t>无绝缘材质烧焦等情况</w:t>
            </w: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val="restart"/>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开关柜状态</w:t>
            </w: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开关柜上铭牌</w:t>
            </w: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tcBorders>
              <w:tl2br w:val="nil"/>
              <w:tr2bl w:val="nil"/>
            </w:tcBorders>
            <w:tcMar>
              <w:top w:w="15" w:type="dxa"/>
              <w:left w:w="15" w:type="dxa"/>
              <w:right w:w="15" w:type="dxa"/>
            </w:tcMar>
            <w:vAlign w:val="center"/>
          </w:tcPr>
          <w:p>
            <w:pPr>
              <w:rPr>
                <w:rFonts w:ascii="宋体" w:hAnsi="宋体" w:cs="宋体"/>
                <w:szCs w:val="21"/>
              </w:rPr>
            </w:pP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分合闸位置指示</w:t>
            </w: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tcBorders>
              <w:tl2br w:val="nil"/>
              <w:tr2bl w:val="nil"/>
            </w:tcBorders>
            <w:tcMar>
              <w:top w:w="15" w:type="dxa"/>
              <w:left w:w="15" w:type="dxa"/>
              <w:right w:w="15" w:type="dxa"/>
            </w:tcMar>
            <w:vAlign w:val="center"/>
          </w:tcPr>
          <w:p>
            <w:pPr>
              <w:rPr>
                <w:rFonts w:ascii="宋体" w:hAnsi="宋体" w:cs="宋体"/>
                <w:szCs w:val="21"/>
              </w:rPr>
            </w:pP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开关编号标志</w:t>
            </w: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tcBorders>
              <w:tl2br w:val="nil"/>
              <w:tr2bl w:val="nil"/>
            </w:tcBorders>
            <w:tcMar>
              <w:top w:w="15" w:type="dxa"/>
              <w:left w:w="15" w:type="dxa"/>
              <w:right w:w="15" w:type="dxa"/>
            </w:tcMar>
            <w:vAlign w:val="center"/>
          </w:tcPr>
          <w:p>
            <w:pPr>
              <w:rPr>
                <w:rFonts w:ascii="宋体" w:hAnsi="宋体" w:cs="宋体"/>
                <w:szCs w:val="21"/>
              </w:rPr>
            </w:pP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带电指示器</w:t>
            </w: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tcBorders>
              <w:tl2br w:val="nil"/>
              <w:tr2bl w:val="nil"/>
            </w:tcBorders>
            <w:tcMar>
              <w:top w:w="15" w:type="dxa"/>
              <w:left w:w="15" w:type="dxa"/>
              <w:right w:w="15" w:type="dxa"/>
            </w:tcMar>
            <w:vAlign w:val="center"/>
          </w:tcPr>
          <w:p>
            <w:pPr>
              <w:rPr>
                <w:rFonts w:ascii="宋体" w:hAnsi="宋体" w:cs="宋体"/>
                <w:szCs w:val="21"/>
              </w:rPr>
            </w:pP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SF6气体充足，未达报警值</w:t>
            </w: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tcBorders>
              <w:tl2br w:val="nil"/>
              <w:tr2bl w:val="nil"/>
            </w:tcBorders>
            <w:tcMar>
              <w:top w:w="15" w:type="dxa"/>
              <w:left w:w="15" w:type="dxa"/>
              <w:right w:w="15" w:type="dxa"/>
            </w:tcMar>
            <w:vAlign w:val="center"/>
          </w:tcPr>
          <w:p>
            <w:pPr>
              <w:rPr>
                <w:rFonts w:ascii="宋体" w:hAnsi="宋体" w:cs="宋体"/>
                <w:szCs w:val="21"/>
              </w:rPr>
            </w:pP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eastAsia="宋体" w:hAnsi="宋体" w:cs="宋体" w:hint="default"/>
                <w:szCs w:val="21"/>
                <w:lang w:val="en-US" w:eastAsia="zh-CN"/>
              </w:rPr>
            </w:pPr>
            <w:r>
              <w:rPr>
                <w:rFonts w:ascii="宋体" w:hAnsi="宋体" w:cs="宋体" w:hint="eastAsia"/>
                <w:kern w:val="0"/>
                <w:szCs w:val="21"/>
                <w:lang w:val="en-US" w:eastAsia="zh-CN"/>
              </w:rPr>
              <w:t>开关储能显示正常</w:t>
            </w: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tcBorders>
              <w:tl2br w:val="nil"/>
              <w:tr2bl w:val="nil"/>
            </w:tcBorders>
            <w:tcMar>
              <w:top w:w="15" w:type="dxa"/>
              <w:left w:w="15" w:type="dxa"/>
              <w:right w:w="15" w:type="dxa"/>
            </w:tcMar>
            <w:vAlign w:val="center"/>
          </w:tcPr>
          <w:p>
            <w:pPr>
              <w:rPr>
                <w:rFonts w:ascii="宋体" w:hAnsi="宋体" w:cs="宋体"/>
                <w:szCs w:val="21"/>
              </w:rPr>
            </w:pP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封堵正常，无老鼠</w:t>
            </w:r>
            <w:r>
              <w:rPr>
                <w:rFonts w:ascii="宋体" w:hAnsi="宋体" w:cs="宋体" w:hint="eastAsia"/>
                <w:bCs/>
                <w:kern w:val="0"/>
                <w:szCs w:val="21"/>
              </w:rPr>
              <w:t>、蜥蜴等小动物</w:t>
            </w: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tcBorders>
              <w:tl2br w:val="nil"/>
              <w:tr2bl w:val="nil"/>
            </w:tcBorders>
            <w:tcMar>
              <w:top w:w="15" w:type="dxa"/>
              <w:left w:w="15" w:type="dxa"/>
              <w:right w:w="15" w:type="dxa"/>
            </w:tcMar>
            <w:vAlign w:val="center"/>
          </w:tcPr>
          <w:p>
            <w:pPr>
              <w:rPr>
                <w:rFonts w:ascii="宋体" w:hAnsi="宋体" w:cs="宋体"/>
                <w:szCs w:val="21"/>
              </w:rPr>
            </w:pP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外露触电检视</w:t>
            </w: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接地检查</w:t>
            </w: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箱变接地电阻在</w:t>
            </w:r>
            <w:r>
              <w:rPr>
                <w:rFonts w:ascii="宋体" w:hAnsi="宋体" w:cs="宋体" w:hint="eastAsia"/>
                <w:kern w:val="0"/>
                <w:szCs w:val="21"/>
                <w:lang w:val="en-US" w:eastAsia="zh-CN"/>
              </w:rPr>
              <w:t>4</w:t>
            </w:r>
            <w:r>
              <w:rPr>
                <w:rFonts w:ascii="宋体" w:hAnsi="宋体" w:cs="宋体" w:hint="eastAsia"/>
                <w:kern w:val="0"/>
                <w:szCs w:val="21"/>
              </w:rPr>
              <w:t>欧姆以下</w:t>
            </w: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val="restart"/>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冷却器检查</w:t>
            </w: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冷却系统的风扇运行正常</w:t>
            </w: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2010" w:type="dxa"/>
            <w:vMerge/>
            <w:tcBorders>
              <w:tl2br w:val="nil"/>
              <w:tr2bl w:val="nil"/>
            </w:tcBorders>
            <w:tcMar>
              <w:top w:w="15" w:type="dxa"/>
              <w:left w:w="15" w:type="dxa"/>
              <w:right w:w="15" w:type="dxa"/>
            </w:tcMar>
            <w:vAlign w:val="center"/>
          </w:tcPr>
          <w:p>
            <w:pPr>
              <w:rPr>
                <w:rFonts w:ascii="宋体" w:hAnsi="宋体" w:cs="宋体"/>
                <w:szCs w:val="21"/>
              </w:rPr>
            </w:pP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出风口和散热器应无异物附着或严重积污</w:t>
            </w: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653"/>
          <w:jc w:val="center"/>
        </w:trPr>
        <w:tc>
          <w:tcPr>
            <w:tcW w:w="2010" w:type="dxa"/>
            <w:vMerge w:val="restart"/>
            <w:tcBorders>
              <w:tl2br w:val="nil"/>
              <w:tr2bl w:val="nil"/>
            </w:tcBorders>
            <w:tcMar>
              <w:top w:w="15" w:type="dxa"/>
              <w:left w:w="15" w:type="dxa"/>
              <w:right w:w="15" w:type="dxa"/>
            </w:tcMar>
            <w:vAlign w:val="center"/>
          </w:tcPr>
          <w:p>
            <w:pPr>
              <w:widowControl/>
              <w:jc w:val="center"/>
              <w:textAlignment w:val="center"/>
              <w:rPr>
                <w:rFonts w:ascii="宋体" w:eastAsia="宋体" w:hAnsi="宋体" w:cs="宋体" w:hint="eastAsia"/>
                <w:szCs w:val="21"/>
                <w:lang w:val="en-US" w:eastAsia="zh-CN"/>
              </w:rPr>
            </w:pPr>
            <w:r>
              <w:rPr>
                <w:rFonts w:ascii="宋体" w:hAnsi="宋体" w:cs="宋体" w:hint="eastAsia"/>
                <w:kern w:val="0"/>
                <w:szCs w:val="21"/>
              </w:rPr>
              <w:t>作业完成</w:t>
            </w: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r>
              <w:rPr>
                <w:rFonts w:ascii="宋体" w:hAnsi="宋体" w:cs="宋体" w:hint="eastAsia"/>
                <w:kern w:val="0"/>
                <w:szCs w:val="21"/>
              </w:rPr>
              <w:t>清理现场</w:t>
            </w: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341"/>
          <w:jc w:val="center"/>
        </w:trPr>
        <w:tc>
          <w:tcPr>
            <w:tcW w:w="2010" w:type="dxa"/>
            <w:vMerge/>
            <w:tcBorders>
              <w:tl2br w:val="nil"/>
              <w:tr2bl w:val="nil"/>
            </w:tcBorders>
            <w:tcMar>
              <w:top w:w="15" w:type="dxa"/>
              <w:left w:w="15" w:type="dxa"/>
              <w:right w:w="15" w:type="dxa"/>
            </w:tcMar>
            <w:vAlign w:val="center"/>
          </w:tcPr>
          <w:p>
            <w:pPr>
              <w:widowControl/>
              <w:jc w:val="center"/>
              <w:textAlignment w:val="center"/>
              <w:rPr>
                <w:rFonts w:ascii="宋体" w:hAnsi="宋体" w:cs="宋体"/>
                <w:szCs w:val="21"/>
              </w:rPr>
            </w:pPr>
          </w:p>
        </w:tc>
        <w:tc>
          <w:tcPr>
            <w:tcW w:w="3104" w:type="dxa"/>
            <w:tcBorders>
              <w:tl2br w:val="nil"/>
              <w:tr2bl w:val="nil"/>
            </w:tcBorders>
            <w:tcMar>
              <w:top w:w="15" w:type="dxa"/>
              <w:left w:w="15" w:type="dxa"/>
              <w:right w:w="15" w:type="dxa"/>
            </w:tcMar>
            <w:vAlign w:val="center"/>
          </w:tcPr>
          <w:p>
            <w:pPr>
              <w:widowControl/>
              <w:jc w:val="center"/>
              <w:textAlignment w:val="center"/>
              <w:rPr>
                <w:rFonts w:ascii="宋体" w:hAnsi="宋体" w:cs="宋体" w:hint="eastAsia"/>
                <w:kern w:val="0"/>
                <w:szCs w:val="21"/>
              </w:rPr>
            </w:pPr>
            <w:r>
              <w:rPr>
                <w:rFonts w:ascii="宋体" w:hAnsi="宋体" w:cs="宋体" w:hint="eastAsia"/>
                <w:kern w:val="0"/>
                <w:szCs w:val="21"/>
              </w:rPr>
              <w:t>关闭好门</w:t>
            </w:r>
          </w:p>
          <w:p>
            <w:pPr>
              <w:widowControl/>
              <w:jc w:val="center"/>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szCs w:val="21"/>
              </w:rPr>
            </w:pPr>
          </w:p>
        </w:tc>
        <w:tc>
          <w:tcPr>
            <w:tcW w:w="1293" w:type="dxa"/>
            <w:tcBorders>
              <w:tl2br w:val="nil"/>
              <w:tr2bl w:val="nil"/>
            </w:tcBorders>
            <w:tcMar>
              <w:top w:w="15" w:type="dxa"/>
              <w:left w:w="15" w:type="dxa"/>
              <w:right w:w="15" w:type="dxa"/>
            </w:tcMar>
            <w:vAlign w:val="center"/>
          </w:tcPr>
          <w:p>
            <w:pPr>
              <w:widowControl/>
              <w:jc w:val="left"/>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5114" w:type="dxa"/>
            <w:gridSpan w:val="2"/>
            <w:vMerge w:val="restart"/>
            <w:tcBorders>
              <w:tl2br w:val="nil"/>
              <w:tr2bl w:val="nil"/>
            </w:tcBorders>
            <w:tcMar>
              <w:top w:w="15" w:type="dxa"/>
              <w:left w:w="15" w:type="dxa"/>
              <w:right w:w="15" w:type="dxa"/>
            </w:tcMar>
          </w:tcPr>
          <w:p>
            <w:pPr>
              <w:widowControl/>
              <w:textAlignment w:val="center"/>
              <w:rPr>
                <w:rFonts w:ascii="宋体" w:hAnsi="宋体" w:cs="宋体"/>
                <w:szCs w:val="21"/>
              </w:rPr>
            </w:pPr>
            <w:r>
              <w:rPr>
                <w:rFonts w:ascii="宋体" w:hAnsi="宋体" w:cs="宋体" w:hint="eastAsia"/>
                <w:kern w:val="0"/>
                <w:szCs w:val="21"/>
              </w:rPr>
              <w:t>巡查人员签名（须至少两人签名）</w:t>
            </w:r>
          </w:p>
        </w:tc>
        <w:tc>
          <w:tcPr>
            <w:tcW w:w="1293" w:type="dxa"/>
            <w:tcBorders>
              <w:tl2br w:val="nil"/>
              <w:tr2bl w:val="nil"/>
            </w:tcBorders>
            <w:tcMar>
              <w:top w:w="15" w:type="dxa"/>
              <w:left w:w="15" w:type="dxa"/>
              <w:right w:w="15" w:type="dxa"/>
            </w:tcMar>
          </w:tcPr>
          <w:p>
            <w:pPr>
              <w:widowControl/>
              <w:textAlignment w:val="center"/>
              <w:rPr>
                <w:rFonts w:ascii="宋体" w:hAnsi="宋体" w:cs="宋体"/>
                <w:kern w:val="0"/>
                <w:szCs w:val="21"/>
              </w:rPr>
            </w:pPr>
          </w:p>
        </w:tc>
        <w:tc>
          <w:tcPr>
            <w:tcW w:w="1293" w:type="dxa"/>
            <w:tcBorders>
              <w:tl2br w:val="nil"/>
              <w:tr2bl w:val="nil"/>
            </w:tcBorders>
            <w:tcMar>
              <w:top w:w="15" w:type="dxa"/>
              <w:left w:w="15" w:type="dxa"/>
              <w:right w:w="15" w:type="dxa"/>
            </w:tcMar>
          </w:tcPr>
          <w:p>
            <w:pPr>
              <w:widowControl/>
              <w:textAlignment w:val="center"/>
              <w:rPr>
                <w:rFonts w:ascii="宋体" w:hAnsi="宋体" w:cs="宋体"/>
                <w:szCs w:val="21"/>
              </w:rPr>
            </w:pPr>
          </w:p>
        </w:tc>
        <w:tc>
          <w:tcPr>
            <w:tcW w:w="1293" w:type="dxa"/>
            <w:tcBorders>
              <w:tl2br w:val="nil"/>
              <w:tr2bl w:val="nil"/>
            </w:tcBorders>
            <w:tcMar>
              <w:top w:w="15" w:type="dxa"/>
              <w:left w:w="15" w:type="dxa"/>
              <w:right w:w="15" w:type="dxa"/>
            </w:tcMar>
          </w:tcPr>
          <w:p>
            <w:pPr>
              <w:widowControl/>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5114" w:type="dxa"/>
            <w:gridSpan w:val="2"/>
            <w:vMerge/>
            <w:tcBorders>
              <w:tl2br w:val="nil"/>
              <w:tr2bl w:val="nil"/>
            </w:tcBorders>
            <w:tcMar>
              <w:top w:w="15" w:type="dxa"/>
              <w:left w:w="15" w:type="dxa"/>
              <w:right w:w="15" w:type="dxa"/>
            </w:tcMar>
          </w:tcPr>
          <w:p>
            <w:pPr>
              <w:rPr>
                <w:rFonts w:ascii="宋体" w:hAnsi="宋体" w:cs="宋体"/>
                <w:szCs w:val="21"/>
              </w:rPr>
            </w:pPr>
          </w:p>
        </w:tc>
        <w:tc>
          <w:tcPr>
            <w:tcW w:w="1293" w:type="dxa"/>
            <w:tcBorders>
              <w:tl2br w:val="nil"/>
              <w:tr2bl w:val="nil"/>
            </w:tcBorders>
            <w:tcMar>
              <w:top w:w="15" w:type="dxa"/>
              <w:left w:w="15" w:type="dxa"/>
              <w:right w:w="15" w:type="dxa"/>
            </w:tcMar>
          </w:tcPr>
          <w:p>
            <w:pPr>
              <w:widowControl/>
              <w:textAlignment w:val="center"/>
              <w:rPr>
                <w:rFonts w:ascii="宋体" w:hAnsi="宋体" w:cs="宋体"/>
                <w:kern w:val="0"/>
                <w:szCs w:val="21"/>
              </w:rPr>
            </w:pPr>
          </w:p>
        </w:tc>
        <w:tc>
          <w:tcPr>
            <w:tcW w:w="1293" w:type="dxa"/>
            <w:tcBorders>
              <w:tl2br w:val="nil"/>
              <w:tr2bl w:val="nil"/>
            </w:tcBorders>
            <w:tcMar>
              <w:top w:w="15" w:type="dxa"/>
              <w:left w:w="15" w:type="dxa"/>
              <w:right w:w="15" w:type="dxa"/>
            </w:tcMar>
          </w:tcPr>
          <w:p>
            <w:pPr>
              <w:widowControl/>
              <w:textAlignment w:val="center"/>
              <w:rPr>
                <w:rFonts w:ascii="宋体" w:hAnsi="宋体" w:cs="宋体"/>
                <w:szCs w:val="21"/>
              </w:rPr>
            </w:pPr>
          </w:p>
        </w:tc>
        <w:tc>
          <w:tcPr>
            <w:tcW w:w="1293" w:type="dxa"/>
            <w:tcBorders>
              <w:tl2br w:val="nil"/>
              <w:tr2bl w:val="nil"/>
            </w:tcBorders>
            <w:tcMar>
              <w:top w:w="15" w:type="dxa"/>
              <w:left w:w="15" w:type="dxa"/>
              <w:right w:w="15" w:type="dxa"/>
            </w:tcMar>
          </w:tcPr>
          <w:p>
            <w:pPr>
              <w:widowControl/>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5114" w:type="dxa"/>
            <w:gridSpan w:val="2"/>
            <w:tcBorders>
              <w:tl2br w:val="nil"/>
              <w:tr2bl w:val="nil"/>
            </w:tcBorders>
            <w:tcMar>
              <w:top w:w="15" w:type="dxa"/>
              <w:left w:w="15" w:type="dxa"/>
              <w:right w:w="15" w:type="dxa"/>
            </w:tcMar>
          </w:tcPr>
          <w:p>
            <w:pPr>
              <w:widowControl/>
              <w:textAlignment w:val="center"/>
              <w:rPr>
                <w:rFonts w:ascii="宋体" w:hAnsi="宋体" w:cs="宋体"/>
                <w:szCs w:val="21"/>
              </w:rPr>
            </w:pPr>
            <w:r>
              <w:rPr>
                <w:rFonts w:ascii="宋体" w:hAnsi="宋体" w:cs="宋体" w:hint="eastAsia"/>
                <w:kern w:val="0"/>
                <w:szCs w:val="21"/>
              </w:rPr>
              <w:t>巡查日期</w:t>
            </w:r>
          </w:p>
        </w:tc>
        <w:tc>
          <w:tcPr>
            <w:tcW w:w="1293" w:type="dxa"/>
            <w:tcBorders>
              <w:tl2br w:val="nil"/>
              <w:tr2bl w:val="nil"/>
            </w:tcBorders>
            <w:tcMar>
              <w:top w:w="15" w:type="dxa"/>
              <w:left w:w="15" w:type="dxa"/>
              <w:right w:w="15" w:type="dxa"/>
            </w:tcMar>
          </w:tcPr>
          <w:p>
            <w:pPr>
              <w:widowControl/>
              <w:textAlignment w:val="center"/>
              <w:rPr>
                <w:rFonts w:ascii="宋体" w:hAnsi="宋体" w:cs="宋体"/>
                <w:kern w:val="0"/>
                <w:szCs w:val="21"/>
              </w:rPr>
            </w:pPr>
          </w:p>
        </w:tc>
        <w:tc>
          <w:tcPr>
            <w:tcW w:w="1293" w:type="dxa"/>
            <w:tcBorders>
              <w:tl2br w:val="nil"/>
              <w:tr2bl w:val="nil"/>
            </w:tcBorders>
            <w:tcMar>
              <w:top w:w="15" w:type="dxa"/>
              <w:left w:w="15" w:type="dxa"/>
              <w:right w:w="15" w:type="dxa"/>
            </w:tcMar>
          </w:tcPr>
          <w:p>
            <w:pPr>
              <w:widowControl/>
              <w:textAlignment w:val="center"/>
              <w:rPr>
                <w:rFonts w:ascii="宋体" w:hAnsi="宋体" w:cs="宋体"/>
                <w:szCs w:val="21"/>
              </w:rPr>
            </w:pPr>
          </w:p>
        </w:tc>
        <w:tc>
          <w:tcPr>
            <w:tcW w:w="1293" w:type="dxa"/>
            <w:tcBorders>
              <w:tl2br w:val="nil"/>
              <w:tr2bl w:val="nil"/>
            </w:tcBorders>
            <w:tcMar>
              <w:top w:w="15" w:type="dxa"/>
              <w:left w:w="15" w:type="dxa"/>
              <w:right w:w="15" w:type="dxa"/>
            </w:tcMar>
          </w:tcPr>
          <w:p>
            <w:pPr>
              <w:widowControl/>
              <w:textAlignment w:val="center"/>
              <w:rPr>
                <w:rFonts w:ascii="宋体" w:hAnsi="宋体" w:cs="宋体"/>
                <w:kern w:val="0"/>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5114" w:type="dxa"/>
            <w:gridSpan w:val="2"/>
            <w:tcBorders>
              <w:tl2br w:val="nil"/>
              <w:tr2bl w:val="nil"/>
            </w:tcBorders>
            <w:tcMar>
              <w:top w:w="15" w:type="dxa"/>
              <w:left w:w="15" w:type="dxa"/>
              <w:right w:w="15" w:type="dxa"/>
            </w:tcMar>
          </w:tcPr>
          <w:p>
            <w:pPr>
              <w:widowControl/>
              <w:textAlignment w:val="center"/>
              <w:rPr>
                <w:rFonts w:ascii="宋体" w:hAnsi="宋体" w:cs="宋体"/>
                <w:szCs w:val="21"/>
              </w:rPr>
            </w:pPr>
            <w:r>
              <w:rPr>
                <w:rFonts w:ascii="宋体" w:hAnsi="宋体" w:cs="宋体" w:hint="eastAsia"/>
                <w:kern w:val="0"/>
                <w:szCs w:val="21"/>
              </w:rPr>
              <w:t>备注（如有异常标注原因）</w:t>
            </w:r>
          </w:p>
        </w:tc>
        <w:tc>
          <w:tcPr>
            <w:tcW w:w="1293" w:type="dxa"/>
            <w:tcBorders>
              <w:tl2br w:val="nil"/>
              <w:tr2bl w:val="nil"/>
            </w:tcBorders>
            <w:tcMar>
              <w:top w:w="15" w:type="dxa"/>
              <w:left w:w="15" w:type="dxa"/>
              <w:right w:w="15" w:type="dxa"/>
            </w:tcMar>
          </w:tcPr>
          <w:p>
            <w:pPr>
              <w:widowControl/>
              <w:textAlignment w:val="center"/>
              <w:rPr>
                <w:rFonts w:ascii="宋体" w:hAnsi="宋体" w:cs="宋体"/>
                <w:szCs w:val="21"/>
              </w:rPr>
            </w:pPr>
          </w:p>
        </w:tc>
        <w:tc>
          <w:tcPr>
            <w:tcW w:w="1293" w:type="dxa"/>
            <w:tcBorders>
              <w:tl2br w:val="nil"/>
              <w:tr2bl w:val="nil"/>
            </w:tcBorders>
            <w:tcMar>
              <w:top w:w="15" w:type="dxa"/>
              <w:left w:w="15" w:type="dxa"/>
              <w:right w:w="15" w:type="dxa"/>
            </w:tcMar>
          </w:tcPr>
          <w:p>
            <w:pPr>
              <w:widowControl/>
              <w:textAlignment w:val="center"/>
              <w:rPr>
                <w:rFonts w:ascii="宋体" w:hAnsi="宋体" w:cs="宋体"/>
                <w:szCs w:val="21"/>
              </w:rPr>
            </w:pPr>
          </w:p>
        </w:tc>
        <w:tc>
          <w:tcPr>
            <w:tcW w:w="1293" w:type="dxa"/>
            <w:tcBorders>
              <w:tl2br w:val="nil"/>
              <w:tr2bl w:val="nil"/>
            </w:tcBorders>
            <w:tcMar>
              <w:top w:w="15" w:type="dxa"/>
              <w:left w:w="15" w:type="dxa"/>
              <w:right w:w="15" w:type="dxa"/>
            </w:tcMar>
          </w:tcPr>
          <w:p>
            <w:pPr>
              <w:widowControl/>
              <w:textAlignment w:val="center"/>
              <w:rPr>
                <w:rFonts w:ascii="宋体" w:hAnsi="宋体" w:cs="宋体"/>
                <w:szCs w:val="21"/>
              </w:rPr>
            </w:pPr>
          </w:p>
        </w:tc>
      </w:tr>
      <w:tr>
        <w:tblPrEx>
          <w:tblW w:w="8993" w:type="dxa"/>
          <w:jc w:val="center"/>
          <w:tblLayout w:type="fixed"/>
          <w:tblCellMar>
            <w:top w:w="0" w:type="dxa"/>
            <w:left w:w="0" w:type="dxa"/>
            <w:bottom w:w="0" w:type="dxa"/>
            <w:right w:w="0" w:type="dxa"/>
          </w:tblCellMar>
        </w:tblPrEx>
        <w:trPr>
          <w:trHeight w:val="283"/>
          <w:jc w:val="center"/>
        </w:trPr>
        <w:tc>
          <w:tcPr>
            <w:tcW w:w="5114" w:type="dxa"/>
            <w:gridSpan w:val="2"/>
            <w:tcBorders>
              <w:tl2br w:val="nil"/>
              <w:tr2bl w:val="nil"/>
            </w:tcBorders>
            <w:tcMar>
              <w:top w:w="15" w:type="dxa"/>
              <w:left w:w="15" w:type="dxa"/>
              <w:right w:w="15" w:type="dxa"/>
            </w:tcMar>
          </w:tcPr>
          <w:p>
            <w:pPr>
              <w:widowControl/>
              <w:textAlignment w:val="center"/>
              <w:rPr>
                <w:rFonts w:ascii="宋体" w:hAnsi="宋体" w:cs="宋体"/>
                <w:kern w:val="0"/>
                <w:szCs w:val="21"/>
              </w:rPr>
            </w:pPr>
            <w:r>
              <w:rPr>
                <w:rFonts w:ascii="宋体" w:hAnsi="宋体" w:cs="宋体" w:hint="eastAsia"/>
                <w:kern w:val="0"/>
                <w:szCs w:val="21"/>
              </w:rPr>
              <w:t>在消缺后填写措施及日期</w:t>
            </w:r>
          </w:p>
        </w:tc>
        <w:tc>
          <w:tcPr>
            <w:tcW w:w="1293" w:type="dxa"/>
            <w:tcBorders>
              <w:tl2br w:val="nil"/>
              <w:tr2bl w:val="nil"/>
            </w:tcBorders>
            <w:tcMar>
              <w:top w:w="15" w:type="dxa"/>
              <w:left w:w="15" w:type="dxa"/>
              <w:right w:w="15" w:type="dxa"/>
            </w:tcMar>
          </w:tcPr>
          <w:p>
            <w:pPr>
              <w:widowControl/>
              <w:textAlignment w:val="center"/>
              <w:rPr>
                <w:rFonts w:ascii="宋体" w:hAnsi="宋体" w:cs="宋体"/>
                <w:kern w:val="0"/>
                <w:szCs w:val="21"/>
              </w:rPr>
            </w:pPr>
          </w:p>
        </w:tc>
        <w:tc>
          <w:tcPr>
            <w:tcW w:w="1293" w:type="dxa"/>
            <w:tcBorders>
              <w:tl2br w:val="nil"/>
              <w:tr2bl w:val="nil"/>
            </w:tcBorders>
            <w:tcMar>
              <w:top w:w="15" w:type="dxa"/>
              <w:left w:w="15" w:type="dxa"/>
              <w:right w:w="15" w:type="dxa"/>
            </w:tcMar>
          </w:tcPr>
          <w:p>
            <w:pPr>
              <w:widowControl/>
              <w:textAlignment w:val="center"/>
              <w:rPr>
                <w:rFonts w:ascii="宋体" w:hAnsi="宋体" w:cs="宋体"/>
                <w:kern w:val="0"/>
                <w:szCs w:val="21"/>
              </w:rPr>
            </w:pPr>
          </w:p>
        </w:tc>
        <w:tc>
          <w:tcPr>
            <w:tcW w:w="1293" w:type="dxa"/>
            <w:tcBorders>
              <w:tl2br w:val="nil"/>
              <w:tr2bl w:val="nil"/>
            </w:tcBorders>
            <w:tcMar>
              <w:top w:w="15" w:type="dxa"/>
              <w:left w:w="15" w:type="dxa"/>
              <w:right w:w="15" w:type="dxa"/>
            </w:tcMar>
          </w:tcPr>
          <w:p>
            <w:pPr>
              <w:widowControl/>
              <w:textAlignment w:val="center"/>
              <w:rPr>
                <w:rFonts w:ascii="宋体" w:hAnsi="宋体" w:cs="宋体"/>
                <w:kern w:val="0"/>
                <w:szCs w:val="21"/>
              </w:rPr>
            </w:pPr>
          </w:p>
        </w:tc>
      </w:tr>
    </w:tbl>
    <w:p>
      <w:pPr>
        <w:rPr>
          <w:rFonts w:ascii="宋体" w:hAnsi="宋体" w:hint="eastAsia"/>
          <w:b/>
          <w:bCs/>
          <w:sz w:val="24"/>
          <w:szCs w:val="20"/>
        </w:rPr>
      </w:pPr>
      <w:r>
        <w:rPr>
          <w:rFonts w:ascii="宋体" w:hAnsi="宋体" w:hint="eastAsia"/>
          <w:b/>
          <w:kern w:val="0"/>
          <w:sz w:val="28"/>
          <w:szCs w:val="28"/>
        </w:rPr>
        <w:br w:type="page"/>
      </w:r>
    </w:p>
    <w:p>
      <w:pPr>
        <w:keepNext/>
        <w:keepLines/>
        <w:adjustRightInd w:val="0"/>
        <w:spacing w:before="260" w:after="260"/>
        <w:jc w:val="center"/>
        <w:textAlignment w:val="baseline"/>
        <w:outlineLvl w:val="1"/>
        <w:rPr>
          <w:rFonts w:ascii="宋体" w:hAnsi="宋体"/>
          <w:b/>
          <w:bCs/>
          <w:sz w:val="24"/>
          <w:szCs w:val="20"/>
        </w:rPr>
      </w:pPr>
      <w:r>
        <w:rPr>
          <w:rFonts w:ascii="宋体" w:hAnsi="宋体" w:hint="eastAsia"/>
          <w:b/>
          <w:bCs/>
          <w:sz w:val="24"/>
          <w:szCs w:val="20"/>
        </w:rPr>
        <w:t>第三章</w:t>
      </w:r>
      <w:r>
        <w:rPr>
          <w:rFonts w:ascii="宋体" w:hAnsi="宋体"/>
          <w:b/>
          <w:bCs/>
          <w:sz w:val="24"/>
          <w:szCs w:val="20"/>
        </w:rPr>
        <w:t xml:space="preserve"> </w:t>
      </w:r>
      <w:r>
        <w:rPr>
          <w:rFonts w:ascii="宋体" w:hAnsi="宋体" w:hint="eastAsia"/>
          <w:b/>
          <w:bCs/>
          <w:sz w:val="24"/>
          <w:szCs w:val="20"/>
        </w:rPr>
        <w:t xml:space="preserve"> 投标文件格式、附件</w:t>
      </w:r>
    </w:p>
    <w:p>
      <w:pPr>
        <w:rPr>
          <w:rFonts w:ascii="Times New Roman" w:hAnsi="Times New Roman"/>
          <w:b/>
          <w:bCs/>
          <w:sz w:val="24"/>
          <w:szCs w:val="32"/>
        </w:rPr>
      </w:pPr>
      <w:r>
        <w:rPr>
          <w:rFonts w:ascii="Times New Roman" w:hAnsi="Times New Roman" w:hint="eastAsia"/>
          <w:b/>
          <w:bCs/>
          <w:sz w:val="24"/>
          <w:szCs w:val="32"/>
        </w:rPr>
        <w:t>特别提醒：</w:t>
      </w:r>
    </w:p>
    <w:p>
      <w:pPr>
        <w:rPr>
          <w:rFonts w:ascii="Times New Roman" w:hAnsi="Times New Roman"/>
          <w:b/>
          <w:bCs/>
          <w:sz w:val="24"/>
          <w:szCs w:val="32"/>
        </w:rPr>
      </w:pPr>
    </w:p>
    <w:p>
      <w:pPr>
        <w:widowControl/>
        <w:ind w:firstLine="420" w:firstLineChars="200"/>
        <w:jc w:val="left"/>
        <w:rPr>
          <w:rFonts w:ascii="仿宋_GB2312" w:eastAsia="仿宋_GB2312" w:hAnsi="Times New Roman"/>
          <w:kern w:val="0"/>
          <w:sz w:val="24"/>
          <w:szCs w:val="24"/>
        </w:rPr>
      </w:pPr>
      <w:r>
        <w:rPr>
          <w:rFonts w:ascii="仿宋_GB2312" w:eastAsia="仿宋_GB2312" w:hAnsi="Times New Roman" w:hint="eastAsia"/>
          <w:b/>
          <w:kern w:val="0"/>
          <w:sz w:val="24"/>
          <w:szCs w:val="24"/>
        </w:rPr>
        <w:t>投标文件正文将对外公开，投标文件附件不公开。</w:t>
      </w:r>
      <w:r>
        <w:rPr>
          <w:rFonts w:ascii="仿宋_GB2312" w:eastAsia="仿宋_GB2312" w:hAnsi="Times New Roman" w:hint="eastAsia"/>
          <w:kern w:val="0"/>
          <w:sz w:val="24"/>
          <w:szCs w:val="24"/>
        </w:rPr>
        <w:t>投标人在编辑投标文件时，在投标文件目录中属于本节点内容的必须在本节点中填写，填写到其他节点或附件的将可能导致投标无效，一切后果由供应商自行承担。</w:t>
      </w:r>
    </w:p>
    <w:p>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 xml:space="preserve">    投标人应按招标文件规定的“投标文件组成”编制投标文件正文（信息公开部分）和投标文件附件（信息不公开部分），举例如下图：</w:t>
      </w:r>
    </w:p>
    <w:p>
      <w:pPr>
        <w:widowControl/>
        <w:jc w:val="center"/>
        <w:rPr>
          <w:rFonts w:ascii="宋体" w:hAnsi="宋体" w:eastAsiaTheme="minorEastAsia" w:cs="宋体"/>
          <w:kern w:val="0"/>
          <w:sz w:val="24"/>
          <w:szCs w:val="24"/>
          <w:highlight w:val="green"/>
        </w:rPr>
      </w:pPr>
      <w:r>
        <w:rPr>
          <w:rFonts w:ascii="仿宋_GB2312" w:eastAsia="仿宋_GB2312" w:hAnsi="Times New Roman"/>
          <w:kern w:val="0"/>
          <w:sz w:val="24"/>
          <w:szCs w:val="24"/>
          <w:highlight w:val="green"/>
        </w:rPr>
        <w:drawing>
          <wp:inline distT="0" distB="0" distL="0" distR="0">
            <wp:extent cx="5278755" cy="4126230"/>
            <wp:effectExtent l="0" t="0" r="17145" b="7620"/>
            <wp:docPr id="2"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图形用户界面, 应用程序&#10;&#10;描述已自动生成"/>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4126230"/>
                    </a:xfrm>
                    <a:prstGeom prst="rect">
                      <a:avLst/>
                    </a:prstGeom>
                    <a:noFill/>
                    <a:ln>
                      <a:noFill/>
                    </a:ln>
                  </pic:spPr>
                </pic:pic>
              </a:graphicData>
            </a:graphic>
          </wp:inline>
        </w:drawing>
      </w:r>
    </w:p>
    <w:p>
      <w:pPr>
        <w:widowControl/>
        <w:jc w:val="center"/>
        <w:rPr>
          <w:rFonts w:ascii="仿宋_GB2312" w:eastAsia="仿宋_GB2312" w:hAnsi="Times New Roman"/>
          <w:kern w:val="0"/>
          <w:sz w:val="24"/>
          <w:szCs w:val="24"/>
          <w:highlight w:val="green"/>
        </w:rPr>
      </w:pPr>
    </w:p>
    <w:p>
      <w:pPr>
        <w:widowControl/>
        <w:ind w:firstLine="420" w:firstLineChars="200"/>
        <w:jc w:val="left"/>
        <w:rPr>
          <w:rFonts w:ascii="仿宋_GB2312" w:eastAsia="仿宋_GB2312" w:hAnsi="Times New Roman"/>
          <w:b/>
          <w:kern w:val="0"/>
          <w:sz w:val="24"/>
          <w:szCs w:val="24"/>
        </w:rPr>
      </w:pPr>
      <w:bookmarkStart w:id="13" w:name="_Hlk72257167"/>
      <w:r>
        <w:rPr>
          <w:rFonts w:ascii="仿宋_GB2312" w:eastAsia="仿宋_GB2312" w:hAnsi="Times New Roman" w:hint="eastAsia"/>
          <w:kern w:val="0"/>
          <w:sz w:val="24"/>
          <w:szCs w:val="24"/>
        </w:rPr>
        <w:t>采购代理机构公布投标文件正文（信息公开部分）时为计算机截取信息自动公布，</w:t>
      </w:r>
      <w:r>
        <w:rPr>
          <w:rFonts w:ascii="仿宋_GB2312" w:eastAsia="仿宋_GB2312" w:hAnsi="Times New Roman" w:hint="eastAsia"/>
          <w:b/>
          <w:bCs/>
          <w:kern w:val="0"/>
          <w:sz w:val="24"/>
          <w:szCs w:val="24"/>
        </w:rPr>
        <w:t>如投标人误将涉及个人隐私或其他重要信息放入投标文件正文，相关后果由投标人自负；</w:t>
      </w:r>
      <w:r>
        <w:rPr>
          <w:rFonts w:ascii="仿宋_GB2312" w:eastAsia="仿宋_GB2312" w:hAnsi="Times New Roman" w:hint="eastAsia"/>
          <w:b/>
          <w:kern w:val="0"/>
          <w:sz w:val="24"/>
          <w:szCs w:val="24"/>
        </w:rPr>
        <w:t>如投标人将必须放于投标文件正文（信息公开部分）的内容放入投标文件附件（信息不公开部分），将作投标无效处理。</w:t>
      </w:r>
    </w:p>
    <w:p>
      <w:pPr>
        <w:rPr>
          <w:rFonts w:ascii="仿宋_GB2312" w:eastAsia="仿宋_GB2312" w:hAnsi="Times New Roman"/>
          <w:sz w:val="24"/>
          <w:szCs w:val="24"/>
        </w:rPr>
      </w:pPr>
      <w:bookmarkEnd w:id="13"/>
    </w:p>
    <w:p>
      <w:pPr>
        <w:rPr>
          <w:rFonts w:ascii="宋体" w:hAnsi="宋体"/>
          <w:sz w:val="24"/>
        </w:rPr>
      </w:pPr>
      <w:r>
        <w:rPr>
          <w:rFonts w:ascii="宋体" w:hAnsi="宋体" w:hint="eastAsia"/>
          <w:sz w:val="24"/>
        </w:rPr>
        <w:t>投标文件组成：</w:t>
      </w:r>
    </w:p>
    <w:p>
      <w:pPr>
        <w:ind w:firstLine="424" w:firstLineChars="202"/>
        <w:rPr>
          <w:rFonts w:ascii="宋体" w:hAnsi="宋体"/>
          <w:sz w:val="24"/>
        </w:rPr>
      </w:pPr>
      <w:r>
        <w:rPr>
          <w:rFonts w:ascii="宋体" w:hAnsi="宋体" w:hint="eastAsia"/>
        </w:rPr>
        <w:t>1.</w:t>
      </w:r>
      <w:r>
        <w:rPr>
          <w:rFonts w:ascii="宋体" w:hAnsi="宋体" w:hint="eastAsia"/>
          <w:b/>
        </w:rPr>
        <w:t>投标文件正文</w:t>
      </w:r>
      <w:r>
        <w:rPr>
          <w:rFonts w:ascii="宋体" w:hAnsi="宋体" w:hint="eastAsia"/>
          <w:b/>
          <w:szCs w:val="21"/>
        </w:rPr>
        <w:t>（信息公开部分）</w:t>
      </w:r>
      <w:r>
        <w:rPr>
          <w:rFonts w:ascii="宋体" w:hAnsi="宋体" w:hint="eastAsia"/>
        </w:rPr>
        <w:t>，主要</w:t>
      </w:r>
      <w:r>
        <w:rPr>
          <w:rFonts w:ascii="宋体" w:hAnsi="宋体" w:hint="eastAsia"/>
          <w:szCs w:val="21"/>
        </w:rPr>
        <w:t>包括以下内容：</w:t>
      </w:r>
    </w:p>
    <w:p>
      <w:pPr>
        <w:spacing w:before="78" w:beforeLines="25" w:after="78" w:afterLines="25"/>
        <w:ind w:firstLine="991" w:firstLineChars="472"/>
        <w:rPr>
          <w:rFonts w:ascii="宋体" w:hAnsi="宋体"/>
          <w:szCs w:val="21"/>
        </w:rPr>
      </w:pPr>
      <w:r>
        <w:rPr>
          <w:rFonts w:ascii="宋体" w:hAnsi="宋体" w:hint="eastAsia"/>
          <w:szCs w:val="21"/>
        </w:rPr>
        <w:t>（1）投标函</w:t>
      </w:r>
    </w:p>
    <w:p>
      <w:pPr>
        <w:spacing w:before="78" w:beforeLines="25" w:after="78" w:afterLines="25"/>
        <w:ind w:firstLine="991" w:firstLineChars="472"/>
        <w:rPr>
          <w:rFonts w:ascii="宋体" w:hAnsi="宋体"/>
          <w:szCs w:val="21"/>
        </w:rPr>
      </w:pPr>
      <w:r>
        <w:rPr>
          <w:rFonts w:ascii="宋体" w:hAnsi="宋体" w:hint="eastAsia"/>
          <w:szCs w:val="21"/>
        </w:rPr>
        <w:t>（2）资格响应文件</w:t>
      </w:r>
    </w:p>
    <w:p>
      <w:pPr>
        <w:spacing w:before="78" w:beforeLines="25" w:after="78" w:afterLines="25"/>
        <w:ind w:firstLine="991" w:firstLineChars="472"/>
        <w:rPr>
          <w:rFonts w:ascii="宋体" w:hAnsi="宋体"/>
          <w:szCs w:val="21"/>
        </w:rPr>
      </w:pPr>
      <w:r>
        <w:rPr>
          <w:rFonts w:ascii="宋体" w:hAnsi="宋体" w:hint="eastAsia"/>
          <w:szCs w:val="21"/>
        </w:rPr>
        <w:t>（3）投标人情况介绍</w:t>
      </w:r>
    </w:p>
    <w:p>
      <w:pPr>
        <w:spacing w:before="78" w:beforeLines="25" w:after="78" w:afterLines="25"/>
        <w:ind w:firstLine="991" w:firstLineChars="472"/>
        <w:rPr>
          <w:rFonts w:ascii="宋体" w:hAnsi="宋体"/>
          <w:szCs w:val="21"/>
        </w:rPr>
      </w:pPr>
      <w:r>
        <w:rPr>
          <w:rFonts w:ascii="宋体" w:hAnsi="宋体" w:hint="eastAsia"/>
          <w:szCs w:val="21"/>
        </w:rPr>
        <w:t>（4）中小企业声明函等符合政府采购扶持政策的证明材料</w:t>
      </w:r>
    </w:p>
    <w:p>
      <w:pPr>
        <w:rPr>
          <w:rFonts w:ascii="宋体" w:hAnsi="宋体"/>
          <w:sz w:val="24"/>
          <w:szCs w:val="24"/>
        </w:rPr>
      </w:pPr>
    </w:p>
    <w:p>
      <w:pPr>
        <w:ind w:firstLine="424" w:firstLineChars="202"/>
        <w:rPr>
          <w:rFonts w:ascii="宋体" w:hAnsi="宋体"/>
          <w:szCs w:val="21"/>
        </w:rPr>
      </w:pPr>
    </w:p>
    <w:p>
      <w:pPr>
        <w:ind w:firstLine="424" w:firstLineChars="202"/>
        <w:rPr>
          <w:rFonts w:ascii="宋体" w:hAnsi="宋体"/>
          <w:szCs w:val="21"/>
        </w:rPr>
      </w:pPr>
      <w:r>
        <w:rPr>
          <w:rFonts w:ascii="宋体" w:hAnsi="宋体" w:hint="eastAsia"/>
          <w:szCs w:val="21"/>
        </w:rPr>
        <w:t>2.</w:t>
      </w:r>
      <w:r>
        <w:rPr>
          <w:rFonts w:ascii="宋体" w:hAnsi="宋体" w:hint="eastAsia"/>
          <w:b/>
          <w:szCs w:val="21"/>
        </w:rPr>
        <w:t>投标文件附件（信息不公开部分）</w:t>
      </w:r>
      <w:r>
        <w:rPr>
          <w:rFonts w:ascii="宋体" w:hAnsi="宋体" w:hint="eastAsia"/>
          <w:szCs w:val="21"/>
        </w:rPr>
        <w:t>，主要包括以下内容：</w:t>
      </w:r>
    </w:p>
    <w:p>
      <w:pPr>
        <w:spacing w:before="78" w:beforeLines="25" w:after="78" w:afterLines="25"/>
        <w:ind w:firstLine="991" w:firstLineChars="472"/>
        <w:rPr>
          <w:rFonts w:ascii="宋体" w:hAnsi="宋体"/>
          <w:szCs w:val="21"/>
        </w:rPr>
      </w:pPr>
      <w:r>
        <w:rPr>
          <w:rFonts w:ascii="宋体" w:hAnsi="宋体" w:hint="eastAsia"/>
          <w:szCs w:val="21"/>
        </w:rPr>
        <w:t>（5）政府采购违法行为风险知悉确认书</w:t>
      </w:r>
    </w:p>
    <w:p>
      <w:pPr>
        <w:spacing w:before="78" w:beforeLines="25" w:after="78" w:afterLines="25"/>
        <w:ind w:firstLine="991" w:firstLineChars="472"/>
        <w:rPr>
          <w:rFonts w:ascii="宋体" w:hAnsi="宋体"/>
          <w:szCs w:val="21"/>
        </w:rPr>
      </w:pPr>
      <w:r>
        <w:rPr>
          <w:rFonts w:ascii="宋体" w:hAnsi="宋体" w:hint="eastAsia"/>
          <w:szCs w:val="21"/>
        </w:rPr>
        <w:t>（6）法定代表人（负责人）资格证明书</w:t>
      </w:r>
    </w:p>
    <w:p>
      <w:pPr>
        <w:spacing w:before="78" w:beforeLines="25" w:after="78" w:afterLines="25"/>
        <w:ind w:firstLine="991" w:firstLineChars="472"/>
        <w:rPr>
          <w:rFonts w:ascii="宋体" w:hAnsi="宋体"/>
          <w:szCs w:val="21"/>
        </w:rPr>
      </w:pPr>
      <w:r>
        <w:rPr>
          <w:rFonts w:ascii="宋体" w:hAnsi="宋体" w:hint="eastAsia"/>
          <w:szCs w:val="21"/>
        </w:rPr>
        <w:t>（7）投标文件签署授权委托书</w:t>
      </w:r>
    </w:p>
    <w:p>
      <w:pPr>
        <w:spacing w:before="78" w:beforeLines="25" w:after="78" w:afterLines="25"/>
        <w:ind w:firstLine="991" w:firstLineChars="472"/>
        <w:rPr>
          <w:rFonts w:ascii="宋体" w:hAnsi="宋体"/>
          <w:szCs w:val="21"/>
        </w:rPr>
      </w:pPr>
      <w:r>
        <w:rPr>
          <w:rFonts w:ascii="宋体" w:hAnsi="宋体" w:hint="eastAsia"/>
          <w:szCs w:val="21"/>
        </w:rPr>
        <w:t>（8）实质性条款响应情况表</w:t>
      </w:r>
    </w:p>
    <w:p>
      <w:pPr>
        <w:spacing w:before="78" w:beforeLines="25" w:after="78" w:afterLines="25"/>
        <w:ind w:firstLine="991" w:firstLineChars="472"/>
        <w:rPr>
          <w:rFonts w:ascii="宋体" w:hAnsi="宋体"/>
          <w:szCs w:val="21"/>
        </w:rPr>
      </w:pPr>
      <w:r>
        <w:rPr>
          <w:rFonts w:ascii="宋体" w:hAnsi="宋体" w:hint="eastAsia"/>
          <w:szCs w:val="21"/>
        </w:rPr>
        <w:t>（9）详细分项报价清单</w:t>
      </w:r>
    </w:p>
    <w:p>
      <w:pPr>
        <w:spacing w:before="78" w:beforeLines="25" w:after="78" w:afterLines="25"/>
        <w:ind w:firstLine="991" w:firstLineChars="472"/>
        <w:rPr>
          <w:rFonts w:ascii="宋体" w:hAnsi="宋体"/>
          <w:szCs w:val="21"/>
        </w:rPr>
      </w:pPr>
      <w:r>
        <w:rPr>
          <w:rFonts w:ascii="宋体" w:hAnsi="宋体" w:hint="eastAsia"/>
          <w:szCs w:val="21"/>
        </w:rPr>
        <w:t>（10）服务要求</w:t>
      </w:r>
      <w:r>
        <w:rPr>
          <w:rFonts w:ascii="宋体" w:hAnsi="宋体"/>
          <w:szCs w:val="21"/>
        </w:rPr>
        <w:t>偏离表</w:t>
      </w:r>
    </w:p>
    <w:p>
      <w:pPr>
        <w:spacing w:before="78" w:beforeLines="25" w:after="78" w:afterLines="25"/>
        <w:ind w:firstLine="991" w:firstLineChars="472"/>
        <w:rPr>
          <w:rFonts w:ascii="宋体" w:hAnsi="宋体"/>
          <w:szCs w:val="21"/>
        </w:rPr>
      </w:pPr>
      <w:r>
        <w:rPr>
          <w:rFonts w:ascii="宋体" w:hAnsi="宋体" w:hint="eastAsia"/>
          <w:szCs w:val="21"/>
        </w:rPr>
        <w:t>（11）</w:t>
      </w:r>
      <w:r>
        <w:rPr>
          <w:rFonts w:ascii="宋体" w:hAnsi="宋体"/>
          <w:szCs w:val="21"/>
        </w:rPr>
        <w:t>商务</w:t>
      </w:r>
      <w:r>
        <w:rPr>
          <w:rFonts w:ascii="宋体" w:hAnsi="宋体" w:hint="eastAsia"/>
          <w:szCs w:val="21"/>
        </w:rPr>
        <w:t>要求</w:t>
      </w:r>
      <w:r>
        <w:rPr>
          <w:rFonts w:ascii="宋体" w:hAnsi="宋体"/>
          <w:szCs w:val="21"/>
        </w:rPr>
        <w:t>偏离表</w:t>
      </w:r>
    </w:p>
    <w:p>
      <w:pPr>
        <w:spacing w:before="78" w:beforeLines="25" w:after="78" w:afterLines="25"/>
        <w:ind w:firstLine="991" w:firstLineChars="472"/>
        <w:rPr>
          <w:rFonts w:ascii="宋体" w:hAnsi="宋体" w:hint="eastAsia"/>
          <w:szCs w:val="21"/>
        </w:rPr>
      </w:pPr>
      <w:r>
        <w:rPr>
          <w:rFonts w:ascii="宋体" w:hAnsi="宋体" w:hint="eastAsia"/>
          <w:szCs w:val="21"/>
        </w:rPr>
        <w:t>（12）实施方案</w:t>
      </w:r>
    </w:p>
    <w:p>
      <w:pPr>
        <w:spacing w:before="78" w:beforeLines="25" w:after="78" w:afterLines="25"/>
        <w:ind w:firstLine="991" w:firstLineChars="472"/>
        <w:rPr>
          <w:rFonts w:ascii="宋体" w:hAnsi="宋体" w:hint="eastAsia"/>
          <w:szCs w:val="21"/>
        </w:rPr>
      </w:pPr>
      <w:r>
        <w:rPr>
          <w:rFonts w:ascii="宋体" w:hAnsi="宋体" w:hint="eastAsia"/>
          <w:szCs w:val="21"/>
          <w:lang w:eastAsia="zh-CN"/>
        </w:rPr>
        <w:t>（</w:t>
      </w:r>
      <w:r>
        <w:rPr>
          <w:rFonts w:ascii="宋体" w:hAnsi="宋体" w:hint="eastAsia"/>
          <w:szCs w:val="21"/>
          <w:lang w:val="en-US" w:eastAsia="zh-CN"/>
        </w:rPr>
        <w:t>13</w:t>
      </w:r>
      <w:r>
        <w:rPr>
          <w:rFonts w:ascii="宋体" w:hAnsi="宋体" w:hint="eastAsia"/>
          <w:szCs w:val="21"/>
          <w:lang w:eastAsia="zh-CN"/>
        </w:rPr>
        <w:t>）</w:t>
      </w:r>
      <w:r>
        <w:rPr>
          <w:rFonts w:ascii="宋体" w:hAnsi="宋体" w:hint="eastAsia"/>
          <w:szCs w:val="21"/>
        </w:rPr>
        <w:t>项目重点难点分析、应对措施及相关的合理化建议</w:t>
      </w:r>
    </w:p>
    <w:p>
      <w:pPr>
        <w:spacing w:before="78" w:beforeLines="25" w:after="78" w:afterLines="25"/>
        <w:ind w:firstLine="991" w:firstLineChars="472"/>
        <w:rPr>
          <w:rFonts w:ascii="宋体" w:hAnsi="宋体" w:hint="eastAsia"/>
          <w:szCs w:val="21"/>
        </w:rPr>
      </w:pPr>
      <w:r>
        <w:rPr>
          <w:rFonts w:ascii="宋体" w:hAnsi="宋体" w:hint="eastAsia"/>
          <w:szCs w:val="21"/>
          <w:lang w:eastAsia="zh-CN"/>
        </w:rPr>
        <w:t>（</w:t>
      </w:r>
      <w:r>
        <w:rPr>
          <w:rFonts w:ascii="宋体" w:hAnsi="宋体" w:hint="eastAsia"/>
          <w:szCs w:val="21"/>
          <w:lang w:val="en-US" w:eastAsia="zh-CN"/>
        </w:rPr>
        <w:t>14</w:t>
      </w:r>
      <w:r>
        <w:rPr>
          <w:rFonts w:ascii="宋体" w:hAnsi="宋体" w:hint="eastAsia"/>
          <w:szCs w:val="21"/>
          <w:lang w:eastAsia="zh-CN"/>
        </w:rPr>
        <w:t>）</w:t>
      </w:r>
      <w:r>
        <w:rPr>
          <w:rFonts w:ascii="宋体" w:hAnsi="宋体" w:hint="eastAsia"/>
          <w:szCs w:val="21"/>
        </w:rPr>
        <w:t>安全生产保障措施及方案</w:t>
      </w:r>
    </w:p>
    <w:p>
      <w:pPr>
        <w:spacing w:before="78" w:beforeLines="25" w:after="78" w:afterLines="25"/>
        <w:ind w:firstLine="991" w:firstLineChars="472"/>
        <w:rPr>
          <w:rFonts w:ascii="宋体" w:hAnsi="宋体" w:hint="eastAsia"/>
          <w:szCs w:val="21"/>
        </w:rPr>
      </w:pPr>
      <w:r>
        <w:rPr>
          <w:rFonts w:ascii="宋体" w:hAnsi="宋体" w:hint="eastAsia"/>
          <w:szCs w:val="21"/>
          <w:lang w:eastAsia="zh-CN"/>
        </w:rPr>
        <w:t>（</w:t>
      </w:r>
      <w:r>
        <w:rPr>
          <w:rFonts w:ascii="宋体" w:hAnsi="宋体" w:hint="eastAsia"/>
          <w:szCs w:val="21"/>
          <w:lang w:val="en-US" w:eastAsia="zh-CN"/>
        </w:rPr>
        <w:t>15</w:t>
      </w:r>
      <w:r>
        <w:rPr>
          <w:rFonts w:ascii="宋体" w:hAnsi="宋体" w:hint="eastAsia"/>
          <w:szCs w:val="21"/>
          <w:lang w:eastAsia="zh-CN"/>
        </w:rPr>
        <w:t>）</w:t>
      </w:r>
      <w:r>
        <w:rPr>
          <w:rFonts w:ascii="宋体" w:hAnsi="宋体" w:hint="eastAsia"/>
          <w:szCs w:val="21"/>
        </w:rPr>
        <w:t>质量保障措施及方案</w:t>
      </w:r>
    </w:p>
    <w:p>
      <w:pPr>
        <w:spacing w:before="78" w:beforeLines="25" w:after="78" w:afterLines="25"/>
        <w:ind w:firstLine="991" w:firstLineChars="472"/>
        <w:rPr>
          <w:rFonts w:ascii="宋体" w:hAnsi="宋体" w:hint="eastAsia"/>
          <w:szCs w:val="21"/>
        </w:rPr>
      </w:pPr>
      <w:r>
        <w:rPr>
          <w:rFonts w:ascii="宋体" w:hAnsi="宋体" w:hint="eastAsia"/>
          <w:szCs w:val="21"/>
          <w:lang w:eastAsia="zh-CN"/>
        </w:rPr>
        <w:t>（</w:t>
      </w:r>
      <w:r>
        <w:rPr>
          <w:rFonts w:ascii="宋体" w:hAnsi="宋体" w:hint="eastAsia"/>
          <w:szCs w:val="21"/>
          <w:lang w:val="en-US" w:eastAsia="zh-CN"/>
        </w:rPr>
        <w:t>16</w:t>
      </w:r>
      <w:r>
        <w:rPr>
          <w:rFonts w:ascii="宋体" w:hAnsi="宋体" w:hint="eastAsia"/>
          <w:szCs w:val="21"/>
          <w:lang w:eastAsia="zh-CN"/>
        </w:rPr>
        <w:t>）</w:t>
      </w:r>
      <w:r>
        <w:rPr>
          <w:rFonts w:ascii="宋体" w:hAnsi="宋体" w:hint="eastAsia"/>
          <w:szCs w:val="21"/>
        </w:rPr>
        <w:t>拟投入使用材料的品牌（节能环保情况）、档次及质量可靠性</w:t>
      </w:r>
    </w:p>
    <w:p>
      <w:pPr>
        <w:spacing w:before="78" w:beforeLines="25" w:after="78" w:afterLines="25"/>
        <w:ind w:firstLine="991" w:firstLineChars="472"/>
        <w:rPr>
          <w:rFonts w:ascii="宋体" w:hAnsi="宋体" w:hint="eastAsia"/>
          <w:szCs w:val="21"/>
        </w:rPr>
      </w:pPr>
      <w:r>
        <w:rPr>
          <w:rFonts w:ascii="宋体" w:hAnsi="宋体" w:hint="eastAsia"/>
          <w:szCs w:val="21"/>
          <w:lang w:eastAsia="zh-CN"/>
        </w:rPr>
        <w:t>（</w:t>
      </w:r>
      <w:r>
        <w:rPr>
          <w:rFonts w:ascii="宋体" w:hAnsi="宋体" w:hint="eastAsia"/>
          <w:szCs w:val="21"/>
          <w:lang w:val="en-US" w:eastAsia="zh-CN"/>
        </w:rPr>
        <w:t>17</w:t>
      </w:r>
      <w:r>
        <w:rPr>
          <w:rFonts w:ascii="宋体" w:hAnsi="宋体" w:hint="eastAsia"/>
          <w:szCs w:val="21"/>
          <w:lang w:eastAsia="zh-CN"/>
        </w:rPr>
        <w:t>）</w:t>
      </w:r>
      <w:r>
        <w:rPr>
          <w:rFonts w:ascii="宋体" w:hAnsi="宋体" w:hint="eastAsia"/>
          <w:szCs w:val="21"/>
        </w:rPr>
        <w:t>拟安排的项目负责人情况（仅限一人）</w:t>
      </w:r>
    </w:p>
    <w:p>
      <w:pPr>
        <w:spacing w:before="78" w:beforeLines="25" w:after="78" w:afterLines="25"/>
        <w:ind w:firstLine="991" w:firstLineChars="472"/>
        <w:rPr>
          <w:rFonts w:ascii="宋体" w:hAnsi="宋体" w:hint="eastAsia"/>
          <w:szCs w:val="21"/>
        </w:rPr>
      </w:pPr>
      <w:r>
        <w:rPr>
          <w:rFonts w:ascii="宋体" w:hAnsi="宋体" w:hint="eastAsia"/>
          <w:szCs w:val="21"/>
          <w:lang w:eastAsia="zh-CN"/>
        </w:rPr>
        <w:t>（</w:t>
      </w:r>
      <w:r>
        <w:rPr>
          <w:rFonts w:ascii="宋体" w:hAnsi="宋体" w:hint="eastAsia"/>
          <w:szCs w:val="21"/>
          <w:lang w:val="en-US" w:eastAsia="zh-CN"/>
        </w:rPr>
        <w:t>18</w:t>
      </w:r>
      <w:r>
        <w:rPr>
          <w:rFonts w:ascii="宋体" w:hAnsi="宋体" w:hint="eastAsia"/>
          <w:szCs w:val="21"/>
          <w:lang w:eastAsia="zh-CN"/>
        </w:rPr>
        <w:t>）</w:t>
      </w:r>
      <w:r>
        <w:rPr>
          <w:rFonts w:ascii="宋体" w:hAnsi="宋体" w:hint="eastAsia"/>
          <w:szCs w:val="21"/>
        </w:rPr>
        <w:t>拟安排的项目主要团队成员（主要技术人员）情况（项目负责人除外）</w:t>
      </w:r>
    </w:p>
    <w:p>
      <w:pPr>
        <w:spacing w:before="78" w:beforeLines="25" w:after="78" w:afterLines="25"/>
        <w:ind w:firstLine="991" w:firstLineChars="472"/>
        <w:rPr>
          <w:rFonts w:ascii="宋体" w:hAnsi="宋体" w:hint="eastAsia"/>
          <w:szCs w:val="21"/>
        </w:rPr>
      </w:pPr>
      <w:r>
        <w:rPr>
          <w:rFonts w:ascii="宋体" w:hAnsi="宋体" w:hint="eastAsia"/>
          <w:szCs w:val="21"/>
          <w:lang w:eastAsia="zh-CN"/>
        </w:rPr>
        <w:t>（</w:t>
      </w:r>
      <w:r>
        <w:rPr>
          <w:rFonts w:ascii="宋体" w:hAnsi="宋体" w:hint="eastAsia"/>
          <w:szCs w:val="21"/>
          <w:lang w:val="en-US" w:eastAsia="zh-CN"/>
        </w:rPr>
        <w:t>19</w:t>
      </w:r>
      <w:r>
        <w:rPr>
          <w:rFonts w:ascii="宋体" w:hAnsi="宋体" w:hint="eastAsia"/>
          <w:szCs w:val="21"/>
          <w:lang w:eastAsia="zh-CN"/>
        </w:rPr>
        <w:t>）</w:t>
      </w:r>
      <w:r>
        <w:rPr>
          <w:rFonts w:ascii="宋体" w:hAnsi="宋体" w:hint="eastAsia"/>
          <w:szCs w:val="21"/>
        </w:rPr>
        <w:t>项目拟投入的发电车情况</w:t>
      </w:r>
    </w:p>
    <w:p>
      <w:pPr>
        <w:spacing w:before="78" w:beforeLines="25" w:after="78" w:afterLines="25"/>
        <w:ind w:firstLine="991" w:firstLineChars="472"/>
        <w:rPr>
          <w:rFonts w:ascii="宋体" w:hAnsi="宋体" w:hint="eastAsia"/>
          <w:szCs w:val="21"/>
        </w:rPr>
      </w:pPr>
      <w:r>
        <w:rPr>
          <w:rFonts w:ascii="宋体" w:hAnsi="宋体" w:hint="eastAsia"/>
          <w:szCs w:val="21"/>
          <w:lang w:eastAsia="zh-CN"/>
        </w:rPr>
        <w:t>（</w:t>
      </w:r>
      <w:r>
        <w:rPr>
          <w:rFonts w:ascii="宋体" w:hAnsi="宋体" w:hint="eastAsia"/>
          <w:szCs w:val="21"/>
          <w:lang w:val="en-US" w:eastAsia="zh-CN"/>
        </w:rPr>
        <w:t>20</w:t>
      </w:r>
      <w:r>
        <w:rPr>
          <w:rFonts w:ascii="宋体" w:hAnsi="宋体" w:hint="eastAsia"/>
          <w:szCs w:val="21"/>
          <w:lang w:eastAsia="zh-CN"/>
        </w:rPr>
        <w:t>）</w:t>
      </w:r>
      <w:r>
        <w:rPr>
          <w:rFonts w:ascii="宋体" w:hAnsi="宋体" w:hint="eastAsia"/>
          <w:szCs w:val="21"/>
        </w:rPr>
        <w:t>项目拟投入的维护设备情况</w:t>
      </w:r>
    </w:p>
    <w:p>
      <w:pPr>
        <w:spacing w:before="78" w:beforeLines="25" w:after="78" w:afterLines="25"/>
        <w:ind w:firstLine="991" w:firstLineChars="472"/>
        <w:rPr>
          <w:rFonts w:ascii="宋体" w:hAnsi="宋体" w:hint="eastAsia"/>
          <w:szCs w:val="21"/>
        </w:rPr>
      </w:pPr>
      <w:r>
        <w:rPr>
          <w:rFonts w:ascii="宋体" w:hAnsi="宋体" w:hint="eastAsia"/>
          <w:szCs w:val="21"/>
          <w:lang w:eastAsia="zh-CN"/>
        </w:rPr>
        <w:t>（</w:t>
      </w:r>
      <w:r>
        <w:rPr>
          <w:rFonts w:ascii="宋体" w:hAnsi="宋体" w:hint="eastAsia"/>
          <w:szCs w:val="21"/>
          <w:lang w:val="en-US" w:eastAsia="zh-CN"/>
        </w:rPr>
        <w:t>21</w:t>
      </w:r>
      <w:r>
        <w:rPr>
          <w:rFonts w:ascii="宋体" w:hAnsi="宋体" w:hint="eastAsia"/>
          <w:szCs w:val="21"/>
          <w:lang w:eastAsia="zh-CN"/>
        </w:rPr>
        <w:t>）</w:t>
      </w:r>
      <w:r>
        <w:rPr>
          <w:rFonts w:ascii="宋体" w:hAnsi="宋体" w:hint="eastAsia"/>
          <w:szCs w:val="21"/>
        </w:rPr>
        <w:t>认证情况</w:t>
      </w:r>
    </w:p>
    <w:p>
      <w:pPr>
        <w:spacing w:before="78" w:beforeLines="25" w:after="78" w:afterLines="25"/>
        <w:ind w:firstLine="991" w:firstLineChars="472"/>
        <w:rPr>
          <w:rFonts w:ascii="宋体" w:hAnsi="宋体" w:hint="eastAsia"/>
          <w:szCs w:val="21"/>
        </w:rPr>
      </w:pPr>
      <w:r>
        <w:rPr>
          <w:rFonts w:ascii="宋体" w:hAnsi="宋体" w:hint="eastAsia"/>
          <w:szCs w:val="21"/>
          <w:lang w:eastAsia="zh-CN"/>
        </w:rPr>
        <w:t>（</w:t>
      </w:r>
      <w:r>
        <w:rPr>
          <w:rFonts w:ascii="宋体" w:hAnsi="宋体" w:hint="eastAsia"/>
          <w:szCs w:val="21"/>
          <w:lang w:val="en-US" w:eastAsia="zh-CN"/>
        </w:rPr>
        <w:t>22</w:t>
      </w:r>
      <w:r>
        <w:rPr>
          <w:rFonts w:ascii="宋体" w:hAnsi="宋体" w:hint="eastAsia"/>
          <w:szCs w:val="21"/>
          <w:lang w:eastAsia="zh-CN"/>
        </w:rPr>
        <w:t>）</w:t>
      </w:r>
      <w:r>
        <w:rPr>
          <w:rFonts w:ascii="宋体" w:hAnsi="宋体" w:hint="eastAsia"/>
          <w:szCs w:val="21"/>
        </w:rPr>
        <w:t>同类项目业绩情况</w:t>
      </w:r>
    </w:p>
    <w:p>
      <w:pPr>
        <w:spacing w:before="78" w:beforeLines="25" w:after="78" w:afterLines="25"/>
        <w:ind w:firstLine="991" w:firstLineChars="472"/>
        <w:rPr>
          <w:rFonts w:ascii="宋体" w:hAnsi="宋体" w:hint="eastAsia"/>
          <w:szCs w:val="21"/>
        </w:rPr>
      </w:pPr>
      <w:r>
        <w:rPr>
          <w:rFonts w:ascii="宋体" w:hAnsi="宋体" w:hint="eastAsia"/>
          <w:szCs w:val="21"/>
          <w:lang w:eastAsia="zh-CN"/>
        </w:rPr>
        <w:t>（</w:t>
      </w:r>
      <w:r>
        <w:rPr>
          <w:rFonts w:ascii="宋体" w:hAnsi="宋体" w:hint="eastAsia"/>
          <w:szCs w:val="21"/>
          <w:lang w:val="en-US" w:eastAsia="zh-CN"/>
        </w:rPr>
        <w:t>23</w:t>
      </w:r>
      <w:r>
        <w:rPr>
          <w:rFonts w:ascii="宋体" w:hAnsi="宋体" w:hint="eastAsia"/>
          <w:szCs w:val="21"/>
          <w:lang w:eastAsia="zh-CN"/>
        </w:rPr>
        <w:t>）</w:t>
      </w:r>
      <w:r>
        <w:rPr>
          <w:rFonts w:ascii="宋体" w:hAnsi="宋体" w:hint="eastAsia"/>
          <w:szCs w:val="21"/>
        </w:rPr>
        <w:t>获奖情况</w:t>
      </w:r>
    </w:p>
    <w:p>
      <w:pPr>
        <w:spacing w:before="78" w:beforeLines="25" w:after="78" w:afterLines="25"/>
        <w:ind w:firstLine="991" w:firstLineChars="472"/>
        <w:rPr>
          <w:rFonts w:ascii="宋体" w:hAnsi="宋体" w:hint="eastAsia"/>
          <w:szCs w:val="21"/>
        </w:rPr>
      </w:pPr>
      <w:r>
        <w:rPr>
          <w:rFonts w:ascii="宋体" w:hAnsi="宋体" w:hint="eastAsia"/>
          <w:szCs w:val="21"/>
          <w:lang w:eastAsia="zh-CN"/>
        </w:rPr>
        <w:t>（</w:t>
      </w:r>
      <w:r>
        <w:rPr>
          <w:rFonts w:ascii="宋体" w:hAnsi="宋体" w:hint="eastAsia"/>
          <w:szCs w:val="21"/>
          <w:lang w:val="en-US" w:eastAsia="zh-CN"/>
        </w:rPr>
        <w:t>24</w:t>
      </w:r>
      <w:r>
        <w:rPr>
          <w:rFonts w:ascii="宋体" w:hAnsi="宋体" w:hint="eastAsia"/>
          <w:szCs w:val="21"/>
          <w:lang w:eastAsia="zh-CN"/>
        </w:rPr>
        <w:t>）</w:t>
      </w:r>
      <w:r>
        <w:rPr>
          <w:rFonts w:ascii="宋体" w:hAnsi="宋体" w:hint="eastAsia"/>
          <w:szCs w:val="21"/>
        </w:rPr>
        <w:t>投标人自主知识产权产品及标准制定情况</w:t>
      </w:r>
    </w:p>
    <w:p>
      <w:pPr>
        <w:spacing w:before="78" w:beforeLines="25" w:after="78" w:afterLines="25"/>
        <w:ind w:firstLine="991" w:firstLineChars="472"/>
        <w:rPr>
          <w:rFonts w:asciiTheme="minorEastAsia" w:eastAsiaTheme="minorEastAsia" w:hAnsiTheme="minorEastAsia"/>
          <w:szCs w:val="21"/>
        </w:rPr>
      </w:pPr>
      <w:r>
        <w:rPr>
          <w:rFonts w:ascii="宋体" w:hAnsi="宋体" w:hint="eastAsia"/>
          <w:szCs w:val="21"/>
          <w:lang w:eastAsia="zh-CN"/>
        </w:rPr>
        <w:t>（</w:t>
      </w:r>
      <w:r>
        <w:rPr>
          <w:rFonts w:ascii="宋体" w:hAnsi="宋体" w:hint="eastAsia"/>
          <w:szCs w:val="21"/>
          <w:lang w:val="en-US" w:eastAsia="zh-CN"/>
        </w:rPr>
        <w:t>25</w:t>
      </w:r>
      <w:r>
        <w:rPr>
          <w:rFonts w:ascii="宋体" w:hAnsi="宋体" w:hint="eastAsia"/>
          <w:szCs w:val="21"/>
          <w:lang w:eastAsia="zh-CN"/>
        </w:rPr>
        <w:t>）</w:t>
      </w:r>
      <w:r>
        <w:rPr>
          <w:rFonts w:ascii="宋体" w:hAnsi="宋体" w:hint="eastAsia"/>
          <w:szCs w:val="21"/>
        </w:rPr>
        <w:t>诚信评审</w:t>
      </w:r>
    </w:p>
    <w:p>
      <w:pPr>
        <w:spacing w:before="78" w:beforeLines="25" w:after="78" w:afterLines="25"/>
        <w:ind w:firstLine="991" w:firstLineChars="472"/>
        <w:rPr>
          <w:rFonts w:ascii="宋体" w:hAnsi="宋体"/>
          <w:szCs w:val="21"/>
        </w:rPr>
      </w:pPr>
      <w:r>
        <w:rPr>
          <w:rFonts w:ascii="宋体" w:hAnsi="宋体" w:hint="eastAsia"/>
          <w:szCs w:val="21"/>
        </w:rPr>
        <w:t>（</w:t>
      </w:r>
      <w:r>
        <w:rPr>
          <w:rFonts w:ascii="宋体" w:hAnsi="宋体" w:hint="eastAsia"/>
          <w:szCs w:val="21"/>
          <w:lang w:val="en-US" w:eastAsia="zh-CN"/>
        </w:rPr>
        <w:t>26</w:t>
      </w:r>
      <w:r>
        <w:rPr>
          <w:rFonts w:ascii="宋体" w:hAnsi="宋体" w:hint="eastAsia"/>
          <w:szCs w:val="21"/>
        </w:rPr>
        <w:t>）招标文件要求的其它内容或投标人认为需要补充的资料</w:t>
      </w:r>
    </w:p>
    <w:p>
      <w:pPr>
        <w:spacing w:before="78" w:beforeLines="25" w:after="78" w:afterLines="25"/>
        <w:rPr>
          <w:rFonts w:ascii="宋体" w:hAnsi="宋体"/>
          <w:szCs w:val="21"/>
        </w:rPr>
      </w:pPr>
    </w:p>
    <w:p>
      <w:pPr>
        <w:widowControl/>
        <w:ind w:firstLine="424" w:firstLineChars="202"/>
        <w:jc w:val="left"/>
        <w:rPr>
          <w:rFonts w:ascii="宋体" w:hAnsi="宋体" w:eastAsiaTheme="minorEastAsia"/>
          <w:b/>
          <w:kern w:val="0"/>
          <w:sz w:val="24"/>
          <w:szCs w:val="21"/>
        </w:rPr>
      </w:pPr>
      <w:r>
        <w:rPr>
          <w:rFonts w:ascii="宋体" w:hAnsi="宋体" w:eastAsiaTheme="minorEastAsia" w:hint="eastAsia"/>
          <w:b/>
          <w:kern w:val="0"/>
          <w:sz w:val="24"/>
          <w:szCs w:val="21"/>
        </w:rPr>
        <w:t>备注：</w:t>
      </w:r>
    </w:p>
    <w:p>
      <w:pPr>
        <w:widowControl/>
        <w:ind w:firstLine="424" w:firstLineChars="202"/>
        <w:jc w:val="left"/>
        <w:rPr>
          <w:rFonts w:ascii="宋体" w:hAnsi="宋体" w:eastAsiaTheme="minorEastAsia"/>
          <w:b/>
          <w:kern w:val="0"/>
          <w:sz w:val="24"/>
          <w:szCs w:val="21"/>
        </w:rPr>
      </w:pPr>
      <w:r>
        <w:rPr>
          <w:rFonts w:ascii="宋体" w:hAnsi="宋体" w:eastAsiaTheme="minorEastAsia" w:hint="eastAsia"/>
          <w:b/>
          <w:kern w:val="0"/>
          <w:sz w:val="24"/>
          <w:szCs w:val="21"/>
        </w:rPr>
        <w:t>1.本项目为网上电子投标项目，投标文件不需法人或授权委托人另行签字，无需加盖单位公章，招标文件专用条款另有规定的除外。</w:t>
      </w:r>
    </w:p>
    <w:p>
      <w:pPr>
        <w:widowControl/>
        <w:ind w:firstLine="424" w:firstLineChars="202"/>
        <w:jc w:val="left"/>
        <w:rPr>
          <w:rFonts w:ascii="宋体" w:hAnsi="宋体" w:eastAsiaTheme="minorEastAsia"/>
          <w:b/>
          <w:kern w:val="0"/>
          <w:sz w:val="24"/>
          <w:szCs w:val="21"/>
        </w:rPr>
      </w:pPr>
      <w:r>
        <w:rPr>
          <w:rFonts w:ascii="宋体" w:hAnsi="宋体" w:eastAsiaTheme="minorEastAsia" w:hint="eastAsia"/>
          <w:b/>
          <w:kern w:val="0"/>
          <w:sz w:val="24"/>
          <w:szCs w:val="21"/>
        </w:rPr>
        <w:t>2.关于填写“开标一览表”的说明：“开标一览表”中除“投标报价”外，其他信息不作为评审依据。</w:t>
      </w:r>
    </w:p>
    <w:p>
      <w:pPr>
        <w:widowControl/>
        <w:jc w:val="left"/>
        <w:rPr>
          <w:rFonts w:ascii="宋体" w:hAnsi="宋体"/>
          <w:szCs w:val="21"/>
        </w:rPr>
      </w:pPr>
      <w:r>
        <w:rPr>
          <w:rFonts w:ascii="宋体" w:hAnsi="宋体"/>
          <w:szCs w:val="21"/>
        </w:rPr>
        <w:br w:type="page"/>
      </w:r>
    </w:p>
    <w:p>
      <w:pPr>
        <w:rPr>
          <w:rFonts w:ascii="仿宋_GB2312" w:eastAsia="仿宋_GB2312" w:hAnsi="Times New Roman"/>
          <w:b/>
          <w:color w:val="FF0000"/>
          <w:sz w:val="30"/>
          <w:szCs w:val="30"/>
        </w:rPr>
      </w:pPr>
      <w:r>
        <w:rPr>
          <w:rFonts w:ascii="仿宋_GB2312" w:eastAsia="仿宋_GB2312" w:hAnsi="Times New Roman" w:hint="eastAsia"/>
          <w:b/>
          <w:color w:val="FF0000"/>
          <w:sz w:val="30"/>
          <w:szCs w:val="30"/>
        </w:rPr>
        <w:t>投标文件正文（信息公开部分）：</w:t>
      </w:r>
    </w:p>
    <w:p>
      <w:pPr>
        <w:pStyle w:val="Heading3"/>
        <w:jc w:val="center"/>
        <w:rPr>
          <w:rFonts w:ascii="黑体" w:eastAsia="黑体"/>
          <w:sz w:val="24"/>
        </w:rPr>
      </w:pPr>
      <w:r>
        <w:rPr>
          <w:rFonts w:ascii="黑体" w:eastAsia="黑体" w:hint="eastAsia"/>
          <w:sz w:val="24"/>
        </w:rPr>
        <w:t>一、投标函</w:t>
      </w:r>
    </w:p>
    <w:p>
      <w:pPr>
        <w:spacing w:line="360" w:lineRule="auto"/>
        <w:rPr>
          <w:rFonts w:ascii="宋体" w:hAnsi="宋体"/>
          <w:szCs w:val="21"/>
        </w:rPr>
      </w:pPr>
      <w:r>
        <w:rPr>
          <w:rFonts w:ascii="宋体" w:hAnsi="宋体" w:hint="eastAsia"/>
          <w:szCs w:val="21"/>
        </w:rPr>
        <w:t xml:space="preserve">深圳市中正招标有限公司：  </w:t>
      </w:r>
    </w:p>
    <w:p>
      <w:pPr>
        <w:spacing w:after="156" w:afterLines="50"/>
        <w:ind w:firstLine="420" w:firstLineChars="200"/>
        <w:rPr>
          <w:szCs w:val="21"/>
        </w:rPr>
      </w:pPr>
      <w:r>
        <w:rPr>
          <w:rFonts w:hint="eastAsia"/>
          <w:szCs w:val="21"/>
        </w:rPr>
        <w:t>1.根据已收到贵方的（项目编号为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方经研究上述招标文件的专用条款及通用条款后，愿以投标书编制软件中《开标一览表》中填写的投标报价并按招标文件要求承包上述项目并修补其任何缺陷。</w:t>
      </w:r>
    </w:p>
    <w:p>
      <w:pPr>
        <w:spacing w:after="156" w:afterLines="50"/>
        <w:ind w:firstLine="420" w:firstLineChars="20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after="156" w:afterLines="50"/>
        <w:ind w:firstLine="412" w:firstLineChars="196"/>
        <w:rPr>
          <w:rFonts w:ascii="宋体" w:hAnsi="宋体"/>
          <w:szCs w:val="21"/>
        </w:rPr>
      </w:pPr>
      <w:r>
        <w:rPr>
          <w:rFonts w:ascii="宋体" w:hAnsi="宋体" w:hint="eastAsia"/>
          <w:szCs w:val="21"/>
        </w:rPr>
        <w:t>3.我方同意所递交的投标文件在“对通用条款的补充内容”中的投标有效期内有效，在此期间内我方的投标有可能中标，我方将受此约束。</w:t>
      </w:r>
    </w:p>
    <w:p>
      <w:pPr>
        <w:spacing w:after="156" w:afterLines="50"/>
        <w:ind w:firstLine="412" w:firstLineChars="196"/>
        <w:rPr>
          <w:rFonts w:ascii="宋体" w:hAnsi="宋体"/>
          <w:szCs w:val="21"/>
        </w:rPr>
      </w:pPr>
      <w:r>
        <w:rPr>
          <w:rFonts w:ascii="宋体" w:hAnsi="宋体" w:hint="eastAsia"/>
          <w:szCs w:val="21"/>
        </w:rPr>
        <w:t>4.除非另外达成协议并生效，贵方的中标通知书和本投标文件将构成约束我们双方的合同。</w:t>
      </w:r>
    </w:p>
    <w:p>
      <w:pPr>
        <w:spacing w:after="156" w:afterLines="50"/>
        <w:ind w:firstLine="412" w:firstLineChars="196"/>
        <w:rPr>
          <w:rFonts w:ascii="宋体" w:hAnsi="宋体"/>
          <w:szCs w:val="21"/>
        </w:rPr>
      </w:pPr>
      <w:r>
        <w:rPr>
          <w:rFonts w:ascii="宋体" w:hAnsi="宋体" w:hint="eastAsia"/>
          <w:szCs w:val="21"/>
        </w:rPr>
        <w:t>5.我方理解贵方将不受必须接受你们所收到的最低标价或其它任何投标文件的约束。</w:t>
      </w:r>
    </w:p>
    <w:p>
      <w:pPr>
        <w:ind w:left="540" w:leftChars="257"/>
        <w:rPr>
          <w:szCs w:val="21"/>
          <w:u w:val="single"/>
        </w:rPr>
      </w:pPr>
      <w:r>
        <w:rPr>
          <w:rFonts w:hint="eastAsia"/>
          <w:szCs w:val="21"/>
        </w:rPr>
        <w:t>投标人：</w:t>
      </w:r>
      <w:r>
        <w:rPr>
          <w:rFonts w:hint="eastAsia"/>
          <w:szCs w:val="21"/>
          <w:u w:val="single"/>
        </w:rPr>
        <w:t xml:space="preserve">                   </w:t>
      </w:r>
      <w:r>
        <w:rPr>
          <w:rFonts w:hint="eastAsia"/>
          <w:szCs w:val="21"/>
        </w:rPr>
        <w:t xml:space="preserve">    单位地址：</w:t>
      </w:r>
      <w:r>
        <w:rPr>
          <w:rFonts w:hint="eastAsia"/>
          <w:szCs w:val="21"/>
          <w:u w:val="single"/>
        </w:rPr>
        <w:t xml:space="preserve">               </w:t>
      </w:r>
    </w:p>
    <w:p>
      <w:pPr>
        <w:ind w:left="540" w:leftChars="257"/>
        <w:rPr>
          <w:szCs w:val="21"/>
          <w:u w:val="single"/>
        </w:rPr>
      </w:pPr>
      <w:r>
        <w:rPr>
          <w:rFonts w:hint="eastAsia"/>
          <w:szCs w:val="21"/>
        </w:rPr>
        <w:t>法定代表人或其委托代理人：</w:t>
      </w:r>
      <w:r>
        <w:rPr>
          <w:rFonts w:hint="eastAsia"/>
          <w:szCs w:val="21"/>
          <w:u w:val="single"/>
        </w:rPr>
        <w:t xml:space="preserve">                   </w:t>
      </w:r>
    </w:p>
    <w:p>
      <w:pPr>
        <w:ind w:left="540"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电话：</w:t>
      </w:r>
      <w:r>
        <w:rPr>
          <w:rFonts w:hint="eastAsia"/>
          <w:szCs w:val="21"/>
          <w:u w:val="single"/>
        </w:rPr>
        <w:t xml:space="preserve">          </w:t>
      </w:r>
      <w:r>
        <w:rPr>
          <w:rFonts w:hint="eastAsia"/>
          <w:szCs w:val="21"/>
        </w:rPr>
        <w:t xml:space="preserve">  传真：</w:t>
      </w:r>
      <w:r>
        <w:rPr>
          <w:rFonts w:hint="eastAsia"/>
          <w:szCs w:val="21"/>
          <w:u w:val="single"/>
        </w:rPr>
        <w:t xml:space="preserve">            </w:t>
      </w:r>
    </w:p>
    <w:p>
      <w:pPr>
        <w:ind w:left="540"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firstLine="540" w:firstLineChars="257"/>
        <w:rPr>
          <w:sz w:val="24"/>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hint="eastAsia"/>
          <w:sz w:val="24"/>
        </w:rPr>
        <w:t xml:space="preserve">    </w:t>
      </w:r>
    </w:p>
    <w:p>
      <w:pPr>
        <w:ind w:firstLine="540" w:firstLineChars="257"/>
        <w:rPr>
          <w:sz w:val="24"/>
        </w:rPr>
      </w:pPr>
    </w:p>
    <w:p>
      <w:pPr>
        <w:rPr>
          <w:rFonts w:ascii="宋体" w:hAnsi="宋体"/>
          <w:szCs w:val="21"/>
        </w:rPr>
      </w:pPr>
      <w:r>
        <w:rPr>
          <w:rFonts w:hint="eastAsia"/>
          <w:szCs w:val="21"/>
          <w:u w:val="single"/>
        </w:rPr>
        <w:t>（备注：如联合体投标，投标人一栏仅需填写牵头人的名称）</w:t>
      </w:r>
    </w:p>
    <w:p>
      <w:pPr>
        <w:ind w:firstLine="540" w:firstLineChars="257"/>
        <w:rPr>
          <w:sz w:val="24"/>
        </w:rPr>
      </w:pPr>
      <w:r>
        <w:rPr>
          <w:rFonts w:hint="eastAsia"/>
          <w:sz w:val="24"/>
        </w:rPr>
        <w:t xml:space="preserve">                          </w:t>
      </w:r>
    </w:p>
    <w:p>
      <w:pPr>
        <w:spacing w:after="156" w:afterLines="50"/>
        <w:ind w:firstLine="412" w:firstLineChars="196"/>
        <w:rPr>
          <w:rFonts w:ascii="宋体" w:hAnsi="宋体"/>
          <w:szCs w:val="21"/>
        </w:rPr>
      </w:pPr>
    </w:p>
    <w:p>
      <w:pPr>
        <w:pStyle w:val="Heading3"/>
        <w:jc w:val="center"/>
        <w:rPr>
          <w:rFonts w:ascii="黑体" w:eastAsia="黑体"/>
          <w:sz w:val="24"/>
        </w:rPr>
      </w:pPr>
      <w:r>
        <w:rPr>
          <w:rFonts w:ascii="黑体" w:eastAsia="黑体" w:hint="eastAsia"/>
          <w:sz w:val="24"/>
        </w:rPr>
        <w:t>二、资格响应文件</w:t>
      </w:r>
    </w:p>
    <w:p>
      <w:pPr>
        <w:adjustRightInd w:val="0"/>
        <w:snapToGrid w:val="0"/>
        <w:spacing w:line="360" w:lineRule="auto"/>
        <w:ind w:firstLine="424" w:firstLineChars="202"/>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ascii="Times New Roman" w:hAnsi="宋体" w:hint="eastAsia"/>
          <w:szCs w:val="21"/>
        </w:rPr>
        <w:t>等证明材料</w:t>
      </w:r>
      <w:r>
        <w:rPr>
          <w:rFonts w:ascii="宋体" w:hAnsi="宋体" w:hint="eastAsia"/>
          <w:bCs/>
          <w:snapToGrid w:val="0"/>
          <w:kern w:val="0"/>
          <w:szCs w:val="21"/>
        </w:rPr>
        <w:t>（扫描件）</w:t>
      </w:r>
    </w:p>
    <w:p>
      <w:pPr>
        <w:adjustRightInd w:val="0"/>
        <w:snapToGrid w:val="0"/>
        <w:spacing w:line="360" w:lineRule="auto"/>
        <w:ind w:firstLine="424" w:firstLineChars="202"/>
        <w:rPr>
          <w:rFonts w:ascii="宋体" w:hAnsi="宋体"/>
          <w:szCs w:val="24"/>
        </w:rPr>
      </w:pPr>
      <w:r>
        <w:rPr>
          <w:rFonts w:ascii="宋体" w:hAnsi="宋体" w:hint="eastAsia"/>
          <w:bCs/>
          <w:snapToGrid w:val="0"/>
          <w:kern w:val="0"/>
          <w:szCs w:val="21"/>
        </w:rPr>
        <w:t>2、</w:t>
      </w:r>
      <w:r>
        <w:rPr>
          <w:rFonts w:ascii="Times New Roman" w:hAnsi="Times New Roman" w:hint="eastAsia"/>
          <w:szCs w:val="21"/>
        </w:rPr>
        <w:t>政府采购投标及履约承诺函</w:t>
      </w:r>
    </w:p>
    <w:p>
      <w:pPr>
        <w:adjustRightInd w:val="0"/>
        <w:snapToGrid w:val="0"/>
        <w:spacing w:line="360" w:lineRule="auto"/>
        <w:ind w:firstLine="424" w:firstLineChars="202"/>
        <w:rPr>
          <w:rFonts w:ascii="宋体" w:hAnsi="宋体" w:hint="eastAsia"/>
          <w:szCs w:val="24"/>
          <w:lang w:val="en-US" w:eastAsia="zh-CN"/>
        </w:rPr>
      </w:pPr>
      <w:r>
        <w:rPr>
          <w:rFonts w:ascii="宋体" w:hAnsi="宋体" w:hint="eastAsia"/>
          <w:szCs w:val="24"/>
          <w:lang w:val="en-US" w:eastAsia="zh-CN"/>
        </w:rPr>
        <w:t>3、城市及道路照明工程专业承包二级（或以上）资质或输变电工程专业承包三级（或以上）资质（扫描件）</w:t>
      </w:r>
    </w:p>
    <w:p>
      <w:pPr>
        <w:adjustRightInd w:val="0"/>
        <w:snapToGrid w:val="0"/>
        <w:spacing w:line="360" w:lineRule="auto"/>
        <w:ind w:firstLine="424" w:firstLineChars="202"/>
        <w:rPr>
          <w:rFonts w:ascii="宋体" w:hAnsi="宋体" w:hint="eastAsia"/>
          <w:szCs w:val="24"/>
          <w:lang w:val="en-US" w:eastAsia="zh-CN"/>
        </w:rPr>
      </w:pPr>
      <w:r>
        <w:rPr>
          <w:rFonts w:ascii="宋体" w:hAnsi="宋体" w:hint="eastAsia"/>
          <w:szCs w:val="24"/>
          <w:lang w:val="en-US" w:eastAsia="zh-CN"/>
        </w:rPr>
        <w:t>4、《承装（修、试）电力设施许可证》，资格类别要求同时包括承装类和承修类，等级要求为五级（或以上）（扫描件）</w:t>
      </w:r>
    </w:p>
    <w:p>
      <w:pPr>
        <w:adjustRightInd w:val="0"/>
        <w:snapToGrid w:val="0"/>
        <w:spacing w:line="360" w:lineRule="auto"/>
        <w:ind w:firstLine="424" w:firstLineChars="202"/>
        <w:rPr>
          <w:rFonts w:ascii="宋体" w:hAnsi="宋体"/>
          <w:szCs w:val="24"/>
        </w:rPr>
      </w:pPr>
      <w:r>
        <w:rPr>
          <w:rFonts w:ascii="宋体" w:hAnsi="宋体" w:hint="eastAsia"/>
          <w:szCs w:val="24"/>
          <w:lang w:val="en-US" w:eastAsia="zh-CN"/>
        </w:rPr>
        <w:t>5</w:t>
      </w:r>
      <w:r>
        <w:rPr>
          <w:rFonts w:ascii="宋体" w:hAnsi="宋体" w:hint="eastAsia"/>
          <w:szCs w:val="24"/>
        </w:rPr>
        <w:t>、其它资格证明材料（如有，按招标公告“申请人的资格要求”提供）</w:t>
      </w:r>
    </w:p>
    <w:p>
      <w:pPr>
        <w:rPr>
          <w:szCs w:val="21"/>
          <w:u w:val="single"/>
        </w:rPr>
      </w:pPr>
    </w:p>
    <w:p>
      <w:pPr>
        <w:rPr>
          <w:rFonts w:ascii="宋体" w:hAnsi="宋体"/>
          <w:szCs w:val="21"/>
        </w:rPr>
      </w:pPr>
      <w:r>
        <w:rPr>
          <w:rFonts w:hint="eastAsia"/>
          <w:szCs w:val="21"/>
          <w:u w:val="single"/>
        </w:rPr>
        <w:t>（备注：如联合体投标，联合体各方均应按要求提供资格响应文件）</w:t>
      </w:r>
    </w:p>
    <w:p>
      <w:pPr>
        <w:pStyle w:val="Heading3"/>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ascii="黑体" w:eastAsia="黑体"/>
          <w:sz w:val="24"/>
        </w:rPr>
      </w:pPr>
      <w:r>
        <w:rPr>
          <w:rFonts w:ascii="黑体" w:eastAsia="黑体" w:hint="eastAsia"/>
          <w:sz w:val="24"/>
        </w:rPr>
        <w:t>政府采购投标及履约承诺函</w:t>
      </w:r>
    </w:p>
    <w:p>
      <w:pPr>
        <w:keepNext w:val="0"/>
        <w:keepLines w:val="0"/>
        <w:pageBreakBefore w:val="0"/>
        <w:widowControl w:val="0"/>
        <w:kinsoku/>
        <w:wordWrap/>
        <w:overflowPunct/>
        <w:topLinePunct w:val="0"/>
        <w:autoSpaceDE/>
        <w:autoSpaceDN/>
        <w:bidi w:val="0"/>
        <w:adjustRightInd/>
        <w:snapToGrid/>
        <w:spacing w:line="290" w:lineRule="exact"/>
        <w:textAlignment w:val="auto"/>
        <w:rPr>
          <w:rFonts w:ascii="宋体" w:eastAsia="宋体" w:hAnsi="宋体" w:cs="宋体" w:hint="eastAsia"/>
          <w:szCs w:val="21"/>
        </w:rPr>
      </w:pPr>
      <w:r>
        <w:rPr>
          <w:rFonts w:ascii="宋体" w:eastAsia="宋体" w:hAnsi="宋体" w:cs="宋体" w:hint="eastAsia"/>
          <w:szCs w:val="21"/>
        </w:rPr>
        <w:t>深圳市中正招标有限公司：</w:t>
      </w:r>
    </w:p>
    <w:p>
      <w:pPr>
        <w:keepNext w:val="0"/>
        <w:keepLines w:val="0"/>
        <w:pageBreakBefore w:val="0"/>
        <w:widowControl w:val="0"/>
        <w:kinsoku/>
        <w:wordWrap/>
        <w:overflowPunct/>
        <w:topLinePunct w:val="0"/>
        <w:autoSpaceDE/>
        <w:autoSpaceDN/>
        <w:bidi w:val="0"/>
        <w:adjustRightInd/>
        <w:snapToGrid/>
        <w:spacing w:line="290" w:lineRule="exact"/>
        <w:ind w:right="-815" w:firstLine="420" w:firstLineChars="200"/>
        <w:textAlignment w:val="auto"/>
        <w:rPr>
          <w:rFonts w:ascii="宋体" w:eastAsia="宋体" w:hAnsi="宋体" w:cs="宋体" w:hint="eastAsia"/>
          <w:szCs w:val="21"/>
        </w:rPr>
      </w:pPr>
      <w:r>
        <w:rPr>
          <w:rFonts w:ascii="宋体" w:eastAsia="宋体" w:hAnsi="宋体" w:cs="宋体" w:hint="eastAsia"/>
          <w:szCs w:val="21"/>
        </w:rPr>
        <w:t>我单位承诺：</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1.我单位满足《中华人民共和国政府采购法》第二十二条规定的下列条件：</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（一）具有独立承担民事责任的能力；</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（六）法律、行政法规规定的其他条件。</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2.我单位参与本项目采购活动前三年内，在经营活动中没有重大违法记录，包括因违法经营受到刑事处罚或者责令停产停业、吊销许可证或者执照、较大数额罚款等行政处罚。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3.我单位参与本项目政府采购活动时不存在被有关部门禁止参与政府采购活动且在有效期内的情况；与其他投标供应商不存在“单位负责人为同一人或者存在直接控股、管理关系”的情况；</w:t>
      </w:r>
      <w:r>
        <w:rPr>
          <w:rFonts w:ascii="宋体" w:eastAsia="宋体" w:hAnsi="宋体" w:cs="宋体" w:hint="eastAsia"/>
          <w:snapToGrid w:val="0"/>
        </w:rPr>
        <w:t>除单一来源采购项目外，为采购项目提供整体设计、规范编制或者项目管理、监理、检测等服务的供应商，不得再参加该采购项目的其他采购活动</w:t>
      </w:r>
      <w:r>
        <w:rPr>
          <w:rFonts w:ascii="宋体" w:eastAsia="宋体" w:hAnsi="宋体" w:cs="宋体" w:hint="eastAsia"/>
          <w:szCs w:val="21"/>
        </w:rPr>
        <w:t>。</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4.我单位承诺不非法转包或分包。</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5.我单位本招标项目所提供的货物或服务未侵犯知识产权。</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6.我单位参与该项目投标，严格遵循公平竞争的原则，不妨碍其他投标人的竞争行为，不损害采购人或者其他投标人的合法权益，与其他采购参加人不存在下列串通投标情形：</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（1）投标供应商之间相互约定给予未中标的供应商利益补偿；</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（2）不同投标供应商的法定代表人、主要经营负责人、项目投标授权代表人、项目负责人、主要技术人员为同一人、属同一单位或者在同一单位缴纳社会保险；</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（3）不同投标供应商的投标文件由同一单位或者同一人编制，或者由同一人分阶段参与编制的；</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（4）不同投标供应商的投标文件或部分投标文件相互混装；</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（5）不同投标供应商的投标文件内容存在非正常一致；</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（6）由同一单位工作人员为两家以上（含两家）供应商进行同一项投标活动的；</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（7）主管部门依照法律、法规认定的其他情形。</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7.我单位如果中标，做到守信，不偷工减料，依照本项目招标文件需求内容、签署的采购合同及本单位在投标中所作的一切承诺履约。</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r>
        <w:rPr>
          <w:rFonts w:ascii="宋体" w:eastAsia="宋体" w:hAnsi="宋体" w:cs="宋体" w:hint="eastAsia"/>
          <w:szCs w:val="21"/>
        </w:rPr>
        <w:t>以上承诺，如有违反，愿依照相关法律法规处理，并承担由此给采购人带来的损失。</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ascii="宋体" w:eastAsia="宋体" w:hAnsi="宋体" w:cs="宋体" w:hint="eastAsia"/>
        </w:rPr>
      </w:pPr>
      <w:r>
        <w:rPr>
          <w:rFonts w:ascii="宋体" w:eastAsia="宋体" w:hAnsi="宋体" w:cs="宋体" w:hint="eastAsia"/>
          <w:szCs w:val="21"/>
        </w:rPr>
        <w:t xml:space="preserve">                             投标人：</w:t>
      </w:r>
    </w:p>
    <w:p>
      <w:pPr>
        <w:keepNext w:val="0"/>
        <w:keepLines w:val="0"/>
        <w:pageBreakBefore w:val="0"/>
        <w:widowControl w:val="0"/>
        <w:kinsoku/>
        <w:wordWrap/>
        <w:overflowPunct/>
        <w:topLinePunct w:val="0"/>
        <w:autoSpaceDE/>
        <w:autoSpaceDN/>
        <w:bidi w:val="0"/>
        <w:adjustRightInd/>
        <w:snapToGrid/>
        <w:spacing w:line="290" w:lineRule="exact"/>
        <w:textAlignment w:val="auto"/>
        <w:rPr>
          <w:rFonts w:ascii="宋体" w:eastAsia="宋体" w:hAnsi="宋体" w:cs="宋体" w:hint="eastAsia"/>
          <w:szCs w:val="21"/>
        </w:rPr>
      </w:pPr>
      <w:r>
        <w:rPr>
          <w:rFonts w:ascii="宋体" w:eastAsia="宋体" w:hAnsi="宋体" w:cs="宋体" w:hint="eastAsia"/>
          <w:szCs w:val="21"/>
        </w:rPr>
        <w:t xml:space="preserve">                                                      日期：</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w:t>
      </w:r>
    </w:p>
    <w:p>
      <w:pPr>
        <w:keepNext w:val="0"/>
        <w:keepLines w:val="0"/>
        <w:pageBreakBefore w:val="0"/>
        <w:widowControl w:val="0"/>
        <w:kinsoku/>
        <w:wordWrap/>
        <w:overflowPunct/>
        <w:topLinePunct w:val="0"/>
        <w:autoSpaceDE/>
        <w:autoSpaceDN/>
        <w:bidi w:val="0"/>
        <w:adjustRightInd/>
        <w:snapToGrid/>
        <w:spacing w:line="290" w:lineRule="exact"/>
        <w:ind w:firstLine="424" w:firstLineChars="202"/>
        <w:textAlignment w:val="auto"/>
        <w:rPr>
          <w:rFonts w:ascii="宋体" w:eastAsia="宋体" w:hAnsi="宋体" w:cs="宋体" w:hint="eastAsia"/>
          <w:szCs w:val="21"/>
        </w:rPr>
      </w:pPr>
    </w:p>
    <w:p>
      <w:pPr>
        <w:keepNext w:val="0"/>
        <w:keepLines w:val="0"/>
        <w:pageBreakBefore w:val="0"/>
        <w:widowControl w:val="0"/>
        <w:kinsoku/>
        <w:wordWrap/>
        <w:overflowPunct/>
        <w:topLinePunct w:val="0"/>
        <w:autoSpaceDE/>
        <w:autoSpaceDN/>
        <w:bidi w:val="0"/>
        <w:adjustRightInd/>
        <w:snapToGrid/>
        <w:spacing w:line="290" w:lineRule="exact"/>
        <w:textAlignment w:val="auto"/>
        <w:rPr>
          <w:rFonts w:ascii="宋体" w:eastAsia="宋体" w:hAnsi="宋体" w:cs="宋体" w:hint="eastAsia"/>
          <w:szCs w:val="21"/>
        </w:rPr>
      </w:pPr>
      <w:r>
        <w:rPr>
          <w:rFonts w:ascii="宋体" w:eastAsia="宋体" w:hAnsi="宋体" w:cs="宋体" w:hint="eastAsia"/>
          <w:szCs w:val="21"/>
          <w:u w:val="single"/>
        </w:rPr>
        <w:t>（备注：如联合体投标，投标人一栏需填写联合体双方的名称）</w:t>
      </w:r>
    </w:p>
    <w:p>
      <w:pPr>
        <w:pStyle w:val="Heading3"/>
        <w:jc w:val="center"/>
        <w:rPr>
          <w:rFonts w:ascii="黑体" w:eastAsia="黑体"/>
          <w:sz w:val="24"/>
        </w:rPr>
      </w:pPr>
      <w:r>
        <w:rPr>
          <w:rFonts w:ascii="黑体" w:eastAsia="黑体" w:hint="eastAsia"/>
          <w:sz w:val="24"/>
        </w:rPr>
        <w:t>三、投标人情况介绍</w:t>
      </w:r>
    </w:p>
    <w:tbl>
      <w:tblPr>
        <w:tblStyle w:val="TableNormal"/>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35"/>
        <w:gridCol w:w="2559"/>
        <w:gridCol w:w="4432"/>
        <w:gridCol w:w="1411"/>
      </w:tblGrid>
      <w:tr>
        <w:tblPrEx>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20"/>
          <w:jc w:val="center"/>
        </w:trPr>
        <w:tc>
          <w:tcPr>
            <w:tcW w:w="735" w:type="dxa"/>
            <w:vAlign w:val="center"/>
          </w:tcPr>
          <w:p>
            <w:pPr>
              <w:spacing w:after="60"/>
              <w:jc w:val="center"/>
              <w:rPr>
                <w:rFonts w:ascii="宋体" w:hAnsi="宋体"/>
                <w:b/>
                <w:szCs w:val="21"/>
              </w:rPr>
            </w:pPr>
            <w:r>
              <w:rPr>
                <w:rFonts w:ascii="宋体" w:hAnsi="宋体" w:hint="eastAsia"/>
                <w:b/>
                <w:szCs w:val="21"/>
              </w:rPr>
              <w:t>序号</w:t>
            </w:r>
          </w:p>
        </w:tc>
        <w:tc>
          <w:tcPr>
            <w:tcW w:w="2559" w:type="dxa"/>
          </w:tcPr>
          <w:p>
            <w:pPr>
              <w:spacing w:after="60"/>
              <w:jc w:val="center"/>
              <w:rPr>
                <w:rFonts w:ascii="宋体" w:hAnsi="宋体"/>
                <w:b/>
                <w:szCs w:val="21"/>
              </w:rPr>
            </w:pPr>
            <w:r>
              <w:rPr>
                <w:rFonts w:ascii="宋体" w:hAnsi="宋体" w:hint="eastAsia"/>
                <w:b/>
                <w:szCs w:val="21"/>
              </w:rPr>
              <w:t>项</w:t>
            </w:r>
            <w:r>
              <w:rPr>
                <w:rFonts w:ascii="宋体" w:hAnsi="宋体"/>
                <w:b/>
                <w:szCs w:val="21"/>
              </w:rPr>
              <w:t xml:space="preserve">  </w:t>
            </w:r>
            <w:r>
              <w:rPr>
                <w:rFonts w:ascii="宋体" w:hAnsi="宋体" w:hint="eastAsia"/>
                <w:b/>
                <w:szCs w:val="21"/>
              </w:rPr>
              <w:t>目</w:t>
            </w:r>
          </w:p>
        </w:tc>
        <w:tc>
          <w:tcPr>
            <w:tcW w:w="4432" w:type="dxa"/>
            <w:vAlign w:val="center"/>
          </w:tcPr>
          <w:p>
            <w:pPr>
              <w:spacing w:after="60"/>
              <w:jc w:val="center"/>
              <w:rPr>
                <w:rFonts w:ascii="宋体" w:hAnsi="宋体"/>
                <w:b/>
                <w:szCs w:val="21"/>
              </w:rPr>
            </w:pPr>
            <w:r>
              <w:rPr>
                <w:rFonts w:ascii="宋体" w:hAnsi="宋体" w:hint="eastAsia"/>
                <w:b/>
                <w:szCs w:val="21"/>
              </w:rPr>
              <w:t>内容及说明</w:t>
            </w:r>
          </w:p>
        </w:tc>
        <w:tc>
          <w:tcPr>
            <w:tcW w:w="1411" w:type="dxa"/>
            <w:vAlign w:val="center"/>
          </w:tcPr>
          <w:p>
            <w:pPr>
              <w:spacing w:after="60"/>
              <w:jc w:val="center"/>
              <w:rPr>
                <w:rFonts w:ascii="宋体" w:hAnsi="宋体"/>
                <w:b/>
                <w:szCs w:val="21"/>
              </w:rPr>
            </w:pPr>
            <w:r>
              <w:rPr>
                <w:rFonts w:ascii="宋体" w:hAnsi="宋体" w:hint="eastAsia"/>
                <w:b/>
                <w:szCs w:val="21"/>
              </w:rPr>
              <w:t>备注</w:t>
            </w:r>
          </w:p>
        </w:tc>
      </w:tr>
      <w:tr>
        <w:tblPrEx>
          <w:tblW w:w="9137" w:type="dxa"/>
          <w:jc w:val="center"/>
          <w:tblLayout w:type="fixed"/>
          <w:tblCellMar>
            <w:top w:w="0" w:type="dxa"/>
            <w:left w:w="108" w:type="dxa"/>
            <w:bottom w:w="0" w:type="dxa"/>
            <w:right w:w="108" w:type="dxa"/>
          </w:tblCellMar>
        </w:tblPrEx>
        <w:trPr>
          <w:cantSplit/>
          <w:trHeight w:val="20"/>
          <w:jc w:val="center"/>
        </w:trPr>
        <w:tc>
          <w:tcPr>
            <w:tcW w:w="735" w:type="dxa"/>
            <w:vAlign w:val="center"/>
          </w:tcPr>
          <w:p>
            <w:pPr>
              <w:spacing w:after="60"/>
              <w:jc w:val="center"/>
              <w:rPr>
                <w:rFonts w:ascii="宋体" w:hAnsi="宋体"/>
                <w:b/>
                <w:szCs w:val="21"/>
              </w:rPr>
            </w:pPr>
            <w:r>
              <w:rPr>
                <w:rFonts w:ascii="宋体" w:hAnsi="宋体" w:hint="eastAsia"/>
                <w:b/>
                <w:szCs w:val="21"/>
              </w:rPr>
              <w:t>一</w:t>
            </w:r>
          </w:p>
        </w:tc>
        <w:tc>
          <w:tcPr>
            <w:tcW w:w="6991" w:type="dxa"/>
            <w:gridSpan w:val="2"/>
          </w:tcPr>
          <w:p>
            <w:pPr>
              <w:spacing w:after="60"/>
              <w:rPr>
                <w:rFonts w:ascii="宋体" w:hAnsi="宋体"/>
                <w:b/>
                <w:szCs w:val="21"/>
              </w:rPr>
            </w:pPr>
            <w:r>
              <w:rPr>
                <w:rFonts w:ascii="宋体" w:hAnsi="宋体" w:hint="eastAsia"/>
                <w:b/>
                <w:szCs w:val="21"/>
              </w:rPr>
              <w:t>营业执照</w:t>
            </w:r>
          </w:p>
        </w:tc>
        <w:tc>
          <w:tcPr>
            <w:tcW w:w="1411" w:type="dxa"/>
            <w:vAlign w:val="center"/>
          </w:tcPr>
          <w:p>
            <w:pPr>
              <w:spacing w:after="60"/>
              <w:jc w:val="center"/>
              <w:rPr>
                <w:rFonts w:ascii="宋体" w:hAnsi="宋体"/>
                <w:szCs w:val="21"/>
              </w:rPr>
            </w:pPr>
          </w:p>
        </w:tc>
      </w:tr>
      <w:tr>
        <w:tblPrEx>
          <w:tblW w:w="9137" w:type="dxa"/>
          <w:jc w:val="center"/>
          <w:tblLayout w:type="fixed"/>
          <w:tblCellMar>
            <w:top w:w="0" w:type="dxa"/>
            <w:left w:w="108" w:type="dxa"/>
            <w:bottom w:w="0" w:type="dxa"/>
            <w:right w:w="108" w:type="dxa"/>
          </w:tblCellMar>
        </w:tblPrEx>
        <w:trPr>
          <w:cantSplit/>
          <w:trHeight w:val="20"/>
          <w:jc w:val="center"/>
        </w:trPr>
        <w:tc>
          <w:tcPr>
            <w:tcW w:w="735" w:type="dxa"/>
            <w:vAlign w:val="center"/>
          </w:tcPr>
          <w:p>
            <w:pPr>
              <w:spacing w:after="60"/>
              <w:jc w:val="center"/>
              <w:rPr>
                <w:rFonts w:ascii="宋体" w:hAnsi="宋体"/>
                <w:szCs w:val="21"/>
              </w:rPr>
            </w:pPr>
            <w:r>
              <w:rPr>
                <w:rFonts w:ascii="宋体" w:hAnsi="宋体"/>
                <w:szCs w:val="21"/>
              </w:rPr>
              <w:t>1</w:t>
            </w:r>
          </w:p>
        </w:tc>
        <w:tc>
          <w:tcPr>
            <w:tcW w:w="2559" w:type="dxa"/>
            <w:vAlign w:val="center"/>
          </w:tcPr>
          <w:p>
            <w:pPr>
              <w:spacing w:after="60"/>
              <w:jc w:val="center"/>
              <w:rPr>
                <w:rFonts w:ascii="宋体" w:hAnsi="宋体"/>
                <w:szCs w:val="21"/>
              </w:rPr>
            </w:pPr>
            <w:r>
              <w:rPr>
                <w:rFonts w:ascii="宋体" w:hAnsi="宋体" w:hint="eastAsia"/>
                <w:szCs w:val="21"/>
              </w:rPr>
              <w:t>注册年度及注册编号</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W w:w="9137" w:type="dxa"/>
          <w:jc w:val="center"/>
          <w:tblLayout w:type="fixed"/>
          <w:tblCellMar>
            <w:top w:w="0" w:type="dxa"/>
            <w:left w:w="108" w:type="dxa"/>
            <w:bottom w:w="0" w:type="dxa"/>
            <w:right w:w="108" w:type="dxa"/>
          </w:tblCellMar>
        </w:tblPrEx>
        <w:trPr>
          <w:cantSplit/>
          <w:trHeight w:val="20"/>
          <w:jc w:val="center"/>
        </w:trPr>
        <w:tc>
          <w:tcPr>
            <w:tcW w:w="735" w:type="dxa"/>
            <w:vAlign w:val="center"/>
          </w:tcPr>
          <w:p>
            <w:pPr>
              <w:spacing w:after="60"/>
              <w:jc w:val="center"/>
              <w:rPr>
                <w:rFonts w:ascii="宋体" w:hAnsi="宋体"/>
                <w:szCs w:val="21"/>
              </w:rPr>
            </w:pPr>
            <w:r>
              <w:rPr>
                <w:rFonts w:ascii="宋体" w:hAnsi="宋体"/>
                <w:szCs w:val="21"/>
              </w:rPr>
              <w:t>2</w:t>
            </w:r>
          </w:p>
        </w:tc>
        <w:tc>
          <w:tcPr>
            <w:tcW w:w="2559" w:type="dxa"/>
            <w:vAlign w:val="center"/>
          </w:tcPr>
          <w:p>
            <w:pPr>
              <w:spacing w:after="60"/>
              <w:jc w:val="center"/>
              <w:rPr>
                <w:rFonts w:ascii="宋体" w:hAnsi="宋体"/>
                <w:szCs w:val="21"/>
              </w:rPr>
            </w:pPr>
            <w:r>
              <w:rPr>
                <w:rFonts w:ascii="宋体" w:hAnsi="宋体" w:hint="eastAsia"/>
                <w:szCs w:val="21"/>
              </w:rPr>
              <w:t>注册资金（万元）</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W w:w="9137" w:type="dxa"/>
          <w:jc w:val="center"/>
          <w:tblLayout w:type="fixed"/>
          <w:tblCellMar>
            <w:top w:w="0" w:type="dxa"/>
            <w:left w:w="108" w:type="dxa"/>
            <w:bottom w:w="0" w:type="dxa"/>
            <w:right w:w="108" w:type="dxa"/>
          </w:tblCellMar>
        </w:tblPrEx>
        <w:trPr>
          <w:cantSplit/>
          <w:trHeight w:val="20"/>
          <w:jc w:val="center"/>
        </w:trPr>
        <w:tc>
          <w:tcPr>
            <w:tcW w:w="735" w:type="dxa"/>
            <w:vAlign w:val="center"/>
          </w:tcPr>
          <w:p>
            <w:pPr>
              <w:spacing w:after="60"/>
              <w:jc w:val="center"/>
              <w:rPr>
                <w:rFonts w:ascii="宋体" w:hAnsi="宋体"/>
                <w:szCs w:val="21"/>
              </w:rPr>
            </w:pPr>
            <w:r>
              <w:rPr>
                <w:rFonts w:ascii="宋体" w:hAnsi="宋体" w:hint="eastAsia"/>
                <w:szCs w:val="21"/>
              </w:rPr>
              <w:t>3</w:t>
            </w:r>
          </w:p>
        </w:tc>
        <w:tc>
          <w:tcPr>
            <w:tcW w:w="2559" w:type="dxa"/>
            <w:vAlign w:val="center"/>
          </w:tcPr>
          <w:p>
            <w:pPr>
              <w:spacing w:after="60"/>
              <w:jc w:val="center"/>
              <w:rPr>
                <w:rFonts w:ascii="宋体" w:hAnsi="宋体"/>
                <w:szCs w:val="21"/>
              </w:rPr>
            </w:pPr>
            <w:r>
              <w:rPr>
                <w:rFonts w:ascii="宋体" w:hAnsi="宋体" w:hint="eastAsia"/>
                <w:szCs w:val="21"/>
              </w:rPr>
              <w:t>法定代表人</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W w:w="9137" w:type="dxa"/>
          <w:jc w:val="center"/>
          <w:tblLayout w:type="fixed"/>
          <w:tblCellMar>
            <w:top w:w="0" w:type="dxa"/>
            <w:left w:w="108" w:type="dxa"/>
            <w:bottom w:w="0" w:type="dxa"/>
            <w:right w:w="108" w:type="dxa"/>
          </w:tblCellMar>
        </w:tblPrEx>
        <w:trPr>
          <w:cantSplit/>
          <w:trHeight w:val="20"/>
          <w:jc w:val="center"/>
        </w:trPr>
        <w:tc>
          <w:tcPr>
            <w:tcW w:w="735" w:type="dxa"/>
            <w:vAlign w:val="center"/>
          </w:tcPr>
          <w:p>
            <w:pPr>
              <w:spacing w:after="60"/>
              <w:jc w:val="center"/>
              <w:rPr>
                <w:rFonts w:ascii="宋体" w:hAnsi="宋体"/>
                <w:szCs w:val="21"/>
              </w:rPr>
            </w:pPr>
            <w:r>
              <w:rPr>
                <w:rFonts w:ascii="宋体" w:hAnsi="宋体" w:hint="eastAsia"/>
                <w:szCs w:val="21"/>
              </w:rPr>
              <w:t>4</w:t>
            </w:r>
          </w:p>
        </w:tc>
        <w:tc>
          <w:tcPr>
            <w:tcW w:w="2559" w:type="dxa"/>
            <w:vAlign w:val="center"/>
          </w:tcPr>
          <w:p>
            <w:pPr>
              <w:spacing w:after="60"/>
              <w:jc w:val="center"/>
              <w:rPr>
                <w:rFonts w:ascii="宋体" w:hAnsi="宋体"/>
                <w:szCs w:val="21"/>
              </w:rPr>
            </w:pPr>
            <w:r>
              <w:rPr>
                <w:rFonts w:ascii="宋体" w:hAnsi="宋体" w:hint="eastAsia"/>
                <w:szCs w:val="21"/>
              </w:rPr>
              <w:t>住所地</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W w:w="9137" w:type="dxa"/>
          <w:jc w:val="center"/>
          <w:tblLayout w:type="fixed"/>
          <w:tblCellMar>
            <w:top w:w="0" w:type="dxa"/>
            <w:left w:w="108" w:type="dxa"/>
            <w:bottom w:w="0" w:type="dxa"/>
            <w:right w:w="108" w:type="dxa"/>
          </w:tblCellMar>
        </w:tblPrEx>
        <w:trPr>
          <w:cantSplit/>
          <w:trHeight w:val="20"/>
          <w:jc w:val="center"/>
        </w:trPr>
        <w:tc>
          <w:tcPr>
            <w:tcW w:w="735" w:type="dxa"/>
            <w:vAlign w:val="center"/>
          </w:tcPr>
          <w:p>
            <w:pPr>
              <w:spacing w:after="60"/>
              <w:jc w:val="center"/>
              <w:rPr>
                <w:rFonts w:ascii="宋体" w:hAnsi="宋体"/>
                <w:szCs w:val="21"/>
              </w:rPr>
            </w:pPr>
            <w:r>
              <w:rPr>
                <w:rFonts w:ascii="宋体" w:hAnsi="宋体" w:hint="eastAsia"/>
                <w:szCs w:val="21"/>
              </w:rPr>
              <w:t>5</w:t>
            </w:r>
          </w:p>
        </w:tc>
        <w:tc>
          <w:tcPr>
            <w:tcW w:w="2559" w:type="dxa"/>
            <w:vAlign w:val="center"/>
          </w:tcPr>
          <w:p>
            <w:pPr>
              <w:spacing w:after="60"/>
              <w:jc w:val="center"/>
              <w:rPr>
                <w:rFonts w:ascii="宋体" w:hAnsi="宋体"/>
                <w:szCs w:val="21"/>
              </w:rPr>
            </w:pPr>
            <w:r>
              <w:rPr>
                <w:rFonts w:ascii="宋体" w:hAnsi="宋体" w:hint="eastAsia"/>
                <w:szCs w:val="21"/>
              </w:rPr>
              <w:t>经营范围</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W w:w="9137" w:type="dxa"/>
          <w:jc w:val="center"/>
          <w:tblLayout w:type="fixed"/>
          <w:tblCellMar>
            <w:top w:w="0" w:type="dxa"/>
            <w:left w:w="108" w:type="dxa"/>
            <w:bottom w:w="0" w:type="dxa"/>
            <w:right w:w="108" w:type="dxa"/>
          </w:tblCellMar>
        </w:tblPrEx>
        <w:trPr>
          <w:cantSplit/>
          <w:trHeight w:val="20"/>
          <w:jc w:val="center"/>
        </w:trPr>
        <w:tc>
          <w:tcPr>
            <w:tcW w:w="735" w:type="dxa"/>
            <w:vAlign w:val="center"/>
          </w:tcPr>
          <w:p>
            <w:pPr>
              <w:spacing w:after="60"/>
              <w:jc w:val="center"/>
              <w:rPr>
                <w:rFonts w:ascii="宋体" w:hAnsi="宋体"/>
                <w:szCs w:val="21"/>
              </w:rPr>
            </w:pPr>
            <w:r>
              <w:rPr>
                <w:rFonts w:ascii="宋体" w:hAnsi="宋体" w:hint="eastAsia"/>
                <w:szCs w:val="21"/>
              </w:rPr>
              <w:t>6</w:t>
            </w:r>
          </w:p>
        </w:tc>
        <w:tc>
          <w:tcPr>
            <w:tcW w:w="2559" w:type="dxa"/>
            <w:vAlign w:val="center"/>
          </w:tcPr>
          <w:p>
            <w:pPr>
              <w:spacing w:after="60"/>
              <w:jc w:val="center"/>
              <w:rPr>
                <w:rFonts w:ascii="宋体" w:hAnsi="宋体"/>
                <w:szCs w:val="21"/>
              </w:rPr>
            </w:pPr>
            <w:r>
              <w:rPr>
                <w:rFonts w:ascii="宋体" w:hAnsi="宋体" w:hint="eastAsia"/>
                <w:szCs w:val="21"/>
              </w:rPr>
              <w:t>开户银行及账号</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W w:w="9137" w:type="dxa"/>
          <w:jc w:val="center"/>
          <w:tblLayout w:type="fixed"/>
          <w:tblCellMar>
            <w:top w:w="0" w:type="dxa"/>
            <w:left w:w="108" w:type="dxa"/>
            <w:bottom w:w="0" w:type="dxa"/>
            <w:right w:w="108" w:type="dxa"/>
          </w:tblCellMar>
        </w:tblPrEx>
        <w:trPr>
          <w:cantSplit/>
          <w:trHeight w:val="20"/>
          <w:jc w:val="center"/>
        </w:trPr>
        <w:tc>
          <w:tcPr>
            <w:tcW w:w="735" w:type="dxa"/>
            <w:vAlign w:val="center"/>
          </w:tcPr>
          <w:p>
            <w:pPr>
              <w:spacing w:after="60"/>
              <w:jc w:val="center"/>
              <w:rPr>
                <w:rFonts w:ascii="宋体" w:hAnsi="宋体"/>
                <w:szCs w:val="21"/>
              </w:rPr>
            </w:pPr>
            <w:r>
              <w:rPr>
                <w:rFonts w:ascii="宋体" w:hAnsi="宋体" w:hint="eastAsia"/>
                <w:szCs w:val="21"/>
              </w:rPr>
              <w:t>7</w:t>
            </w:r>
          </w:p>
        </w:tc>
        <w:tc>
          <w:tcPr>
            <w:tcW w:w="2559" w:type="dxa"/>
            <w:vAlign w:val="center"/>
          </w:tcPr>
          <w:p>
            <w:pPr>
              <w:spacing w:after="60"/>
              <w:jc w:val="center"/>
              <w:rPr>
                <w:rFonts w:ascii="宋体" w:hAnsi="宋体"/>
                <w:szCs w:val="21"/>
              </w:rPr>
            </w:pPr>
            <w:r>
              <w:rPr>
                <w:rFonts w:ascii="宋体" w:hAnsi="宋体" w:hint="eastAsia"/>
                <w:szCs w:val="21"/>
              </w:rPr>
              <w:t>联系方式</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W w:w="9137" w:type="dxa"/>
          <w:jc w:val="center"/>
          <w:tblLayout w:type="fixed"/>
          <w:tblCellMar>
            <w:top w:w="0" w:type="dxa"/>
            <w:left w:w="108" w:type="dxa"/>
            <w:bottom w:w="0" w:type="dxa"/>
            <w:right w:w="108" w:type="dxa"/>
          </w:tblCellMar>
        </w:tblPrEx>
        <w:trPr>
          <w:cantSplit/>
          <w:trHeight w:val="20"/>
          <w:jc w:val="center"/>
        </w:trPr>
        <w:tc>
          <w:tcPr>
            <w:tcW w:w="735" w:type="dxa"/>
            <w:vAlign w:val="center"/>
          </w:tcPr>
          <w:p>
            <w:pPr>
              <w:spacing w:after="60"/>
              <w:jc w:val="center"/>
              <w:rPr>
                <w:rFonts w:ascii="宋体" w:hAnsi="宋体"/>
                <w:b/>
                <w:szCs w:val="21"/>
              </w:rPr>
            </w:pPr>
            <w:r>
              <w:rPr>
                <w:rFonts w:ascii="宋体" w:hAnsi="宋体" w:hint="eastAsia"/>
                <w:b/>
                <w:szCs w:val="21"/>
              </w:rPr>
              <w:t>二</w:t>
            </w:r>
          </w:p>
        </w:tc>
        <w:tc>
          <w:tcPr>
            <w:tcW w:w="2559" w:type="dxa"/>
            <w:vAlign w:val="center"/>
          </w:tcPr>
          <w:p>
            <w:pPr>
              <w:spacing w:after="60"/>
              <w:jc w:val="left"/>
              <w:rPr>
                <w:rFonts w:ascii="宋体" w:hAnsi="宋体"/>
                <w:b/>
                <w:szCs w:val="21"/>
              </w:rPr>
            </w:pPr>
            <w:r>
              <w:rPr>
                <w:rFonts w:ascii="宋体" w:hAnsi="宋体" w:hint="eastAsia"/>
                <w:b/>
                <w:szCs w:val="21"/>
              </w:rPr>
              <w:t>其他材料</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bl>
    <w:p>
      <w:pPr>
        <w:spacing w:line="360" w:lineRule="exact"/>
        <w:rPr>
          <w:bCs/>
          <w:szCs w:val="21"/>
        </w:rPr>
      </w:pPr>
      <w:r>
        <w:rPr>
          <w:rFonts w:hint="eastAsia"/>
          <w:bCs/>
          <w:szCs w:val="21"/>
        </w:rPr>
        <w:t>注：供应商应填写上述表格内容，并可根据自身情况自行对表格内容进行补充和完善。</w:t>
      </w:r>
    </w:p>
    <w:p>
      <w:pPr>
        <w:ind w:left="632" w:hanging="630" w:hangingChars="300"/>
        <w:rPr>
          <w:b/>
          <w:bCs/>
        </w:rPr>
      </w:pPr>
    </w:p>
    <w:p>
      <w:pPr>
        <w:ind w:left="632" w:hanging="630" w:hangingChars="300"/>
        <w:rPr>
          <w:b/>
          <w:bCs/>
        </w:rPr>
      </w:pPr>
    </w:p>
    <w:p>
      <w:pPr>
        <w:ind w:left="632" w:hanging="630" w:hangingChars="300"/>
        <w:rPr>
          <w:b/>
          <w:bCs/>
        </w:rPr>
      </w:pPr>
    </w:p>
    <w:p>
      <w:pPr>
        <w:jc w:val="center"/>
        <w:outlineLvl w:val="3"/>
        <w:rPr>
          <w:rFonts w:ascii="黑体" w:eastAsia="黑体" w:hAnsi="宋体"/>
          <w:bCs/>
          <w:kern w:val="0"/>
          <w:sz w:val="24"/>
          <w:szCs w:val="32"/>
        </w:rPr>
      </w:pPr>
      <w:r>
        <w:rPr>
          <w:rFonts w:ascii="黑体" w:eastAsia="黑体" w:hAnsi="宋体" w:hint="eastAsia"/>
          <w:bCs/>
          <w:kern w:val="0"/>
          <w:sz w:val="24"/>
          <w:szCs w:val="32"/>
        </w:rPr>
        <w:t>四、中小企业声明函等符合政府采购扶持政策的证明材料</w:t>
      </w:r>
    </w:p>
    <w:p>
      <w:pPr>
        <w:jc w:val="left"/>
        <w:outlineLvl w:val="3"/>
        <w:rPr>
          <w:rFonts w:ascii="黑体" w:eastAsia="黑体" w:hAnsi="宋体"/>
          <w:bCs/>
          <w:kern w:val="0"/>
          <w:sz w:val="24"/>
          <w:szCs w:val="32"/>
        </w:rPr>
      </w:pPr>
    </w:p>
    <w:p>
      <w:pPr>
        <w:widowControl/>
        <w:snapToGrid w:val="0"/>
        <w:spacing w:line="360" w:lineRule="auto"/>
        <w:jc w:val="left"/>
        <w:outlineLvl w:val="4"/>
        <w:rPr>
          <w:rFonts w:ascii="仿宋" w:eastAsia="仿宋" w:hAnsi="仿宋"/>
          <w:b/>
          <w:bCs/>
          <w:kern w:val="0"/>
          <w:sz w:val="25"/>
          <w:szCs w:val="25"/>
        </w:rPr>
      </w:pPr>
      <w:r>
        <w:rPr>
          <w:rFonts w:ascii="仿宋" w:eastAsia="仿宋" w:hAnsi="仿宋" w:hint="eastAsia"/>
          <w:b/>
          <w:bCs/>
          <w:kern w:val="0"/>
          <w:sz w:val="25"/>
          <w:szCs w:val="25"/>
        </w:rPr>
        <w:t>填写指引：</w:t>
      </w:r>
    </w:p>
    <w:p>
      <w:pPr>
        <w:widowControl/>
        <w:snapToGrid w:val="0"/>
        <w:spacing w:line="360" w:lineRule="auto"/>
        <w:jc w:val="left"/>
        <w:rPr>
          <w:rFonts w:asciiTheme="minorEastAsia" w:eastAsiaTheme="minorEastAsia" w:hAnsiTheme="minorEastAsia"/>
          <w:kern w:val="0"/>
          <w:szCs w:val="21"/>
        </w:rPr>
      </w:pPr>
      <w:r>
        <w:rPr>
          <w:rFonts w:ascii="仿宋" w:eastAsia="仿宋" w:hAnsi="仿宋" w:hint="eastAsia"/>
          <w:kern w:val="0"/>
          <w:sz w:val="25"/>
          <w:szCs w:val="25"/>
        </w:rPr>
        <w:t xml:space="preserve">  </w:t>
      </w:r>
      <w:r>
        <w:rPr>
          <w:rFonts w:asciiTheme="minorEastAsia" w:eastAsiaTheme="minorEastAsia" w:hAnsiTheme="minorEastAsia" w:hint="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w:t>
      </w:r>
      <w:r>
        <w:rPr>
          <w:rFonts w:asciiTheme="minorEastAsia" w:eastAsiaTheme="minorEastAsia" w:hAnsiTheme="minorEastAsia"/>
          <w:kern w:val="0"/>
          <w:szCs w:val="21"/>
        </w:rPr>
        <w:t>1</w:t>
      </w:r>
      <w:r>
        <w:rPr>
          <w:rFonts w:asciiTheme="minorEastAsia" w:eastAsiaTheme="minorEastAsia" w:hAnsiTheme="minorEastAsia" w:hint="eastAsia"/>
          <w:kern w:val="0"/>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w:t>
      </w:r>
      <w:r>
        <w:rPr>
          <w:rFonts w:asciiTheme="minorEastAsia" w:eastAsiaTheme="minorEastAsia" w:hAnsiTheme="minorEastAsia"/>
          <w:kern w:val="0"/>
          <w:szCs w:val="21"/>
        </w:rPr>
        <w:t>2</w:t>
      </w:r>
      <w:r>
        <w:rPr>
          <w:rFonts w:asciiTheme="minorEastAsia" w:eastAsiaTheme="minorEastAsia" w:hAnsiTheme="minorEastAsia" w:hint="eastAsia"/>
          <w:kern w:val="0"/>
          <w:szCs w:val="21"/>
        </w:rPr>
        <w:t>)</w:t>
      </w:r>
      <w:bookmarkStart w:id="14" w:name="_Hlk71925120"/>
      <w:r>
        <w:rPr>
          <w:rFonts w:asciiTheme="minorEastAsia" w:eastAsiaTheme="minorEastAsia" w:hAnsiTheme="minorEastAsia" w:hint="eastAsia"/>
          <w:kern w:val="0"/>
          <w:szCs w:val="21"/>
        </w:rPr>
        <w:t>《关于印发中小企业划型标准规定的通知》（工信部联企业〔2011〕300 号</w:t>
      </w:r>
      <w:bookmarkEnd w:id="14"/>
      <w:r>
        <w:rPr>
          <w:rFonts w:asciiTheme="minorEastAsia" w:eastAsiaTheme="minorEastAsia" w:hAnsiTheme="minorEastAsia" w:hint="eastAsia"/>
          <w:kern w:val="0"/>
          <w:szCs w:val="21"/>
        </w:rPr>
        <w:t>）</w:t>
      </w:r>
    </w:p>
    <w:p>
      <w:pPr>
        <w:widowControl/>
        <w:snapToGrid w:val="0"/>
        <w:spacing w:line="360" w:lineRule="auto"/>
        <w:ind w:firstLine="555"/>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(3)</w:t>
      </w:r>
      <w:r>
        <w:rPr>
          <w:rFonts w:asciiTheme="minorEastAsia" w:eastAsiaTheme="minorEastAsia" w:hAnsiTheme="minorEastAsia" w:hint="eastAsia"/>
          <w:szCs w:val="21"/>
        </w:rPr>
        <w:t xml:space="preserve"> </w:t>
      </w:r>
      <w:r>
        <w:rPr>
          <w:rFonts w:asciiTheme="minorEastAsia" w:eastAsiaTheme="minorEastAsia" w:hAnsiTheme="minorEastAsia" w:hint="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(4)</w:t>
      </w:r>
      <w:r>
        <w:rPr>
          <w:rFonts w:asciiTheme="minorEastAsia" w:eastAsiaTheme="minorEastAsia" w:hAnsiTheme="minorEastAsia" w:hint="eastAsia"/>
          <w:szCs w:val="21"/>
        </w:rPr>
        <w:t xml:space="preserve"> </w:t>
      </w:r>
      <w:r>
        <w:rPr>
          <w:rFonts w:asciiTheme="minorEastAsia" w:eastAsiaTheme="minorEastAsia" w:hAnsiTheme="minorEastAsia" w:hint="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eastAsiaTheme="minorEastAsia" w:hAnsiTheme="minorEastAsia"/>
          <w:szCs w:val="21"/>
        </w:rPr>
      </w:pPr>
      <w:r>
        <w:rPr>
          <w:rFonts w:asciiTheme="minorEastAsia" w:eastAsiaTheme="minorEastAsia" w:hAnsiTheme="minorEastAsia" w:hint="eastAsia"/>
          <w:kern w:val="0"/>
          <w:szCs w:val="21"/>
        </w:rPr>
        <w:t>(5)</w:t>
      </w:r>
      <w:r>
        <w:rPr>
          <w:rFonts w:asciiTheme="minorEastAsia" w:eastAsiaTheme="minorEastAsia" w:hAnsiTheme="minorEastAsia" w:hint="eastAsia"/>
          <w:szCs w:val="21"/>
        </w:rPr>
        <w:t xml:space="preserve"> </w:t>
      </w:r>
      <w:r>
        <w:rPr>
          <w:rFonts w:asciiTheme="minorEastAsia" w:eastAsiaTheme="minorEastAsia" w:hAnsiTheme="minorEastAsia" w:hint="eastAsia"/>
          <w:kern w:val="0"/>
          <w:szCs w:val="21"/>
        </w:rPr>
        <w:t>财政部 司法部关于政府采购支持监狱企业发展有关问题的通知（财库〔2014〕68号）</w:t>
      </w:r>
    </w:p>
    <w:p>
      <w:pPr>
        <w:widowControl/>
        <w:snapToGrid w:val="0"/>
        <w:spacing w:line="360" w:lineRule="auto"/>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3、请依照招标文件提供的格式和内容填写声明函，不要随意变更格式；声明函不需要盖章或签字；满足多项优惠政策的投标人，不重复享受多项价格扣除政策。</w:t>
      </w:r>
    </w:p>
    <w:p>
      <w:pPr>
        <w:widowControl/>
        <w:snapToGrid w:val="0"/>
        <w:spacing w:line="360" w:lineRule="auto"/>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4、《中小企业声明函》填写要求：</w:t>
      </w:r>
    </w:p>
    <w:p>
      <w:pPr>
        <w:widowControl/>
        <w:snapToGrid w:val="0"/>
        <w:spacing w:line="360" w:lineRule="auto"/>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（1）在“单位名称”下划线处如实填写</w:t>
      </w:r>
      <w:r>
        <w:rPr>
          <w:rFonts w:asciiTheme="minorEastAsia" w:eastAsiaTheme="minorEastAsia" w:hAnsiTheme="minorEastAsia" w:hint="eastAsia"/>
          <w:b/>
          <w:color w:val="FF0000"/>
          <w:kern w:val="0"/>
          <w:szCs w:val="21"/>
        </w:rPr>
        <w:t>采购人名称（详见采购人信息，非采购代理机构）</w:t>
      </w:r>
      <w:r>
        <w:rPr>
          <w:rFonts w:asciiTheme="minorEastAsia" w:eastAsiaTheme="minorEastAsia" w:hAnsiTheme="minorEastAsia" w:hint="eastAsia"/>
          <w:kern w:val="0"/>
          <w:szCs w:val="21"/>
        </w:rPr>
        <w:t>；</w:t>
      </w:r>
    </w:p>
    <w:p>
      <w:pPr>
        <w:widowControl/>
        <w:snapToGrid w:val="0"/>
        <w:spacing w:line="360" w:lineRule="auto"/>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（2）在“项目名称”下划线处如实填写</w:t>
      </w:r>
      <w:r>
        <w:rPr>
          <w:rFonts w:asciiTheme="minorEastAsia" w:eastAsiaTheme="minorEastAsia" w:hAnsiTheme="minorEastAsia" w:hint="eastAsia"/>
          <w:b/>
          <w:color w:val="FF0000"/>
          <w:kern w:val="0"/>
          <w:szCs w:val="21"/>
        </w:rPr>
        <w:t>采购项目名称</w:t>
      </w:r>
      <w:r>
        <w:rPr>
          <w:rFonts w:asciiTheme="minorEastAsia" w:eastAsiaTheme="minorEastAsia" w:hAnsiTheme="minorEastAsia" w:hint="eastAsia"/>
          <w:kern w:val="0"/>
          <w:szCs w:val="21"/>
        </w:rPr>
        <w:t>；</w:t>
      </w:r>
    </w:p>
    <w:p>
      <w:pPr>
        <w:widowControl/>
        <w:snapToGrid w:val="0"/>
        <w:spacing w:line="360" w:lineRule="auto"/>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（3）在“标的名称”下划线处填写所</w:t>
      </w:r>
      <w:r>
        <w:rPr>
          <w:rFonts w:asciiTheme="minorEastAsia" w:eastAsiaTheme="minorEastAsia" w:hAnsiTheme="minorEastAsia" w:hint="eastAsia"/>
          <w:b/>
          <w:color w:val="FF0000"/>
          <w:kern w:val="0"/>
          <w:szCs w:val="21"/>
        </w:rPr>
        <w:t>采购标的（货物或服务或工程）的具体名称</w:t>
      </w:r>
      <w:r>
        <w:rPr>
          <w:rFonts w:asciiTheme="minorEastAsia" w:eastAsiaTheme="minorEastAsia" w:hAnsiTheme="minorEastAsia" w:hint="eastAsia"/>
          <w:b/>
          <w:bCs/>
          <w:color w:val="FF0000"/>
          <w:kern w:val="0"/>
          <w:szCs w:val="21"/>
        </w:rPr>
        <w:t>（具体详见第二章招标项目需求，如涉及多项标的，投标人需逐项进行响应）</w:t>
      </w:r>
      <w:r>
        <w:rPr>
          <w:rFonts w:asciiTheme="minorEastAsia" w:eastAsiaTheme="minorEastAsia" w:hAnsiTheme="minorEastAsia" w:hint="eastAsia"/>
          <w:kern w:val="0"/>
          <w:szCs w:val="21"/>
        </w:rPr>
        <w:t>；</w:t>
      </w:r>
    </w:p>
    <w:p>
      <w:pPr>
        <w:widowControl/>
        <w:snapToGrid w:val="0"/>
        <w:spacing w:line="360" w:lineRule="auto"/>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（4）在“</w:t>
      </w:r>
      <w:r>
        <w:rPr>
          <w:rFonts w:asciiTheme="minorEastAsia" w:eastAsiaTheme="minorEastAsia" w:hAnsiTheme="minorEastAsia"/>
          <w:szCs w:val="21"/>
        </w:rPr>
        <w:t>采购文件</w:t>
      </w:r>
      <w:r>
        <w:rPr>
          <w:rFonts w:asciiTheme="minorEastAsia" w:eastAsiaTheme="minorEastAsia" w:hAnsiTheme="minorEastAsia" w:hint="eastAsia"/>
          <w:kern w:val="0"/>
          <w:szCs w:val="21"/>
        </w:rPr>
        <w:t>中明确的所属行业”下划线处填写</w:t>
      </w:r>
      <w:r>
        <w:rPr>
          <w:rFonts w:asciiTheme="minorEastAsia" w:eastAsiaTheme="minorEastAsia" w:hAnsiTheme="minorEastAsia" w:hint="eastAsia"/>
          <w:b/>
          <w:color w:val="FF0000"/>
          <w:kern w:val="0"/>
          <w:szCs w:val="21"/>
        </w:rPr>
        <w:t>采购文件规定的本项目所属行业</w:t>
      </w:r>
      <w:r>
        <w:rPr>
          <w:rFonts w:asciiTheme="minorEastAsia" w:eastAsiaTheme="minorEastAsia" w:hAnsiTheme="minorEastAsia" w:hint="eastAsia"/>
          <w:b/>
          <w:bCs/>
          <w:color w:val="FF0000"/>
          <w:kern w:val="0"/>
          <w:szCs w:val="21"/>
        </w:rPr>
        <w:t>（详见其它关键信息）</w:t>
      </w:r>
      <w:r>
        <w:rPr>
          <w:rFonts w:asciiTheme="minorEastAsia" w:eastAsiaTheme="minorEastAsia" w:hAnsiTheme="minorEastAsia" w:hint="eastAsia"/>
          <w:kern w:val="0"/>
          <w:szCs w:val="21"/>
        </w:rPr>
        <w:t>；</w:t>
      </w:r>
    </w:p>
    <w:p>
      <w:pPr>
        <w:widowControl/>
        <w:snapToGrid w:val="0"/>
        <w:spacing w:line="360" w:lineRule="auto"/>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（5）在“从业人员”、“营业收入”、“资产总额”下划线处如实填写</w:t>
      </w:r>
      <w:r>
        <w:rPr>
          <w:rFonts w:asciiTheme="minorEastAsia" w:eastAsiaTheme="minorEastAsia" w:hAnsiTheme="minorEastAsia" w:hint="eastAsia"/>
          <w:b/>
          <w:color w:val="FF0000"/>
          <w:kern w:val="0"/>
          <w:szCs w:val="21"/>
        </w:rPr>
        <w:t>制造商（货物类）或承接企业（服务或工程类）</w:t>
      </w:r>
      <w:r>
        <w:rPr>
          <w:rFonts w:asciiTheme="minorEastAsia" w:eastAsiaTheme="minorEastAsia" w:hAnsiTheme="minorEastAsia" w:hint="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（6）在“中型企业、小型企业、微型企业”下划线处如实依照工信部联企业〔2011〕300号文填写相应的企业类型。</w:t>
      </w:r>
    </w:p>
    <w:p>
      <w:pPr>
        <w:widowControl/>
        <w:snapToGrid w:val="0"/>
        <w:spacing w:line="360" w:lineRule="auto"/>
        <w:jc w:val="left"/>
        <w:rPr>
          <w:rFonts w:ascii="Times New Roman" w:hAnsi="Times New Roman"/>
          <w:b/>
          <w:bCs/>
          <w:szCs w:val="24"/>
        </w:rPr>
      </w:pPr>
      <w:r>
        <w:rPr>
          <w:rFonts w:asciiTheme="minorEastAsia" w:eastAsiaTheme="minorEastAsia" w:hAnsiTheme="minorEastAsia" w:hint="eastAsia"/>
          <w:kern w:val="0"/>
          <w:szCs w:val="21"/>
        </w:rPr>
        <w:t xml:space="preserve">    </w:t>
      </w:r>
    </w:p>
    <w:p>
      <w:pPr>
        <w:jc w:val="center"/>
        <w:outlineLvl w:val="3"/>
        <w:rPr>
          <w:rFonts w:ascii="黑体" w:eastAsia="黑体" w:hAnsi="宋体"/>
          <w:bCs/>
          <w:kern w:val="0"/>
          <w:sz w:val="24"/>
          <w:szCs w:val="32"/>
        </w:rPr>
      </w:pPr>
    </w:p>
    <w:p>
      <w:pPr>
        <w:spacing w:after="60"/>
        <w:jc w:val="center"/>
        <w:outlineLvl w:val="3"/>
        <w:rPr>
          <w:b/>
          <w:sz w:val="24"/>
        </w:rPr>
      </w:pPr>
      <w:r>
        <w:rPr>
          <w:rFonts w:hint="eastAsia"/>
          <w:b/>
          <w:sz w:val="24"/>
        </w:rPr>
        <w:t>1、中小企业声明函</w:t>
      </w:r>
    </w:p>
    <w:p>
      <w:pPr>
        <w:pStyle w:val="BodyText"/>
        <w:spacing w:line="360" w:lineRule="exact"/>
        <w:ind w:firstLine="412"/>
        <w:rPr>
          <w:rFonts w:asciiTheme="minorEastAsia" w:eastAsiaTheme="minorEastAsia" w:hAnsiTheme="minorEastAsia"/>
          <w:b w:val="0"/>
          <w:sz w:val="21"/>
          <w:szCs w:val="21"/>
        </w:rPr>
      </w:pPr>
      <w:r>
        <w:rPr>
          <w:rFonts w:asciiTheme="minorEastAsia" w:eastAsiaTheme="minorEastAsia" w:hAnsiTheme="minorEastAsia"/>
          <w:b w:val="0"/>
          <w:sz w:val="21"/>
          <w:szCs w:val="21"/>
        </w:rPr>
        <w:t>本公司（联合体）郑重声明，根据《政府采购促进中小企业发展管理办法》（财库</w:t>
      </w:r>
      <w:r>
        <w:rPr>
          <w:rFonts w:asciiTheme="minorEastAsia" w:eastAsiaTheme="minorEastAsia" w:hAnsiTheme="minorEastAsia" w:hint="eastAsia"/>
          <w:b w:val="0"/>
          <w:sz w:val="21"/>
          <w:szCs w:val="21"/>
        </w:rPr>
        <w:t>﹝</w:t>
      </w:r>
      <w:r>
        <w:rPr>
          <w:rFonts w:asciiTheme="minorEastAsia" w:eastAsiaTheme="minorEastAsia" w:hAnsiTheme="minorEastAsia"/>
          <w:b w:val="0"/>
          <w:sz w:val="21"/>
          <w:szCs w:val="21"/>
        </w:rPr>
        <w:t>2020</w:t>
      </w:r>
      <w:r>
        <w:rPr>
          <w:rFonts w:asciiTheme="minorEastAsia" w:eastAsiaTheme="minorEastAsia" w:hAnsiTheme="minorEastAsia" w:hint="eastAsia"/>
          <w:b w:val="0"/>
          <w:sz w:val="21"/>
          <w:szCs w:val="21"/>
        </w:rPr>
        <w:t>﹞</w:t>
      </w:r>
      <w:r>
        <w:rPr>
          <w:rFonts w:asciiTheme="minorEastAsia" w:eastAsiaTheme="minorEastAsia" w:hAnsiTheme="minorEastAsia"/>
          <w:b w:val="0"/>
          <w:sz w:val="21"/>
          <w:szCs w:val="21"/>
        </w:rPr>
        <w:t>46 号）的规定，本公司（联合体）参加</w:t>
      </w:r>
      <w:r>
        <w:rPr>
          <w:rFonts w:asciiTheme="minorEastAsia" w:eastAsiaTheme="minorEastAsia" w:hAnsiTheme="minorEastAsia"/>
          <w:b w:val="0"/>
          <w:sz w:val="21"/>
          <w:szCs w:val="21"/>
          <w:u w:val="single"/>
        </w:rPr>
        <w:t>（单位名称）</w:t>
      </w:r>
      <w:r>
        <w:rPr>
          <w:rFonts w:asciiTheme="minorEastAsia" w:eastAsiaTheme="minorEastAsia" w:hAnsiTheme="minorEastAsia"/>
          <w:b w:val="0"/>
          <w:sz w:val="21"/>
          <w:szCs w:val="21"/>
        </w:rPr>
        <w:t>的</w:t>
      </w:r>
      <w:r>
        <w:rPr>
          <w:rFonts w:asciiTheme="minorEastAsia" w:eastAsiaTheme="minorEastAsia" w:hAnsiTheme="minorEastAsia"/>
          <w:b w:val="0"/>
          <w:sz w:val="21"/>
          <w:szCs w:val="21"/>
          <w:u w:val="single"/>
        </w:rPr>
        <w:t>（项目名称）</w:t>
      </w:r>
      <w:r>
        <w:rPr>
          <w:rFonts w:asciiTheme="minorEastAsia" w:eastAsiaTheme="minorEastAsia" w:hAnsiTheme="minorEastAsia"/>
          <w:b w:val="0"/>
          <w:sz w:val="21"/>
          <w:szCs w:val="21"/>
        </w:rPr>
        <w:t>采购活动，</w:t>
      </w:r>
      <w:r>
        <w:rPr>
          <w:rFonts w:asciiTheme="minorEastAsia" w:eastAsiaTheme="minorEastAsia" w:hAnsiTheme="minorEastAsia" w:hint="eastAsia"/>
          <w:b w:val="0"/>
          <w:sz w:val="21"/>
          <w:szCs w:val="21"/>
        </w:rPr>
        <w:t>服务全部由符合政策要求的中小企业承接</w:t>
      </w:r>
      <w:r>
        <w:rPr>
          <w:rFonts w:asciiTheme="minorEastAsia" w:eastAsiaTheme="minorEastAsia" w:hAnsiTheme="minorEastAsia"/>
          <w:b w:val="0"/>
          <w:sz w:val="21"/>
          <w:szCs w:val="21"/>
        </w:rPr>
        <w:t>。相关企业（含联合体中的中小企业、签订分包意向协议的中小企业）的具体情况如下：</w:t>
      </w:r>
    </w:p>
    <w:p>
      <w:pPr>
        <w:pStyle w:val="BodyText"/>
        <w:spacing w:line="360" w:lineRule="exact"/>
        <w:ind w:firstLine="41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1. </w:t>
      </w:r>
      <w:r>
        <w:rPr>
          <w:rFonts w:asciiTheme="minorEastAsia" w:eastAsiaTheme="minorEastAsia" w:hAnsiTheme="minorEastAsia"/>
          <w:b w:val="0"/>
          <w:sz w:val="21"/>
          <w:szCs w:val="21"/>
          <w:u w:val="single"/>
        </w:rPr>
        <w:t>（标的名称）</w:t>
      </w:r>
      <w:r>
        <w:rPr>
          <w:rFonts w:asciiTheme="minorEastAsia" w:eastAsiaTheme="minorEastAsia" w:hAnsiTheme="minorEastAsia"/>
          <w:b w:val="0"/>
          <w:sz w:val="21"/>
          <w:szCs w:val="21"/>
        </w:rPr>
        <w:t>，属于</w:t>
      </w:r>
      <w:r>
        <w:rPr>
          <w:rFonts w:asciiTheme="minorEastAsia" w:eastAsiaTheme="minorEastAsia" w:hAnsiTheme="minorEastAsia"/>
          <w:b w:val="0"/>
          <w:sz w:val="21"/>
          <w:szCs w:val="21"/>
          <w:u w:val="single"/>
        </w:rPr>
        <w:t>（采购文件中明确的所属行业）</w:t>
      </w:r>
      <w:r>
        <w:rPr>
          <w:rFonts w:asciiTheme="minorEastAsia" w:eastAsiaTheme="minorEastAsia" w:hAnsiTheme="minorEastAsia"/>
          <w:b w:val="0"/>
          <w:sz w:val="21"/>
          <w:szCs w:val="21"/>
        </w:rPr>
        <w:t>；承接企业为</w:t>
      </w:r>
      <w:r>
        <w:rPr>
          <w:rFonts w:asciiTheme="minorEastAsia" w:eastAsiaTheme="minorEastAsia" w:hAnsiTheme="minorEastAsia"/>
          <w:b w:val="0"/>
          <w:sz w:val="21"/>
          <w:szCs w:val="21"/>
          <w:u w:val="single"/>
        </w:rPr>
        <w:t>（企业名称）</w:t>
      </w:r>
      <w:r>
        <w:rPr>
          <w:rFonts w:asciiTheme="minorEastAsia" w:eastAsiaTheme="minorEastAsia" w:hAnsiTheme="minorEastAsia"/>
          <w:b w:val="0"/>
          <w:sz w:val="21"/>
          <w:szCs w:val="21"/>
        </w:rPr>
        <w:t>，从业人员</w:t>
      </w:r>
      <w:r>
        <w:rPr>
          <w:rFonts w:asciiTheme="minorEastAsia" w:eastAsiaTheme="minorEastAsia" w:hAnsiTheme="minorEastAsia"/>
          <w:b w:val="0"/>
          <w:sz w:val="21"/>
          <w:szCs w:val="21"/>
          <w:u w:val="single"/>
        </w:rPr>
        <w:t xml:space="preserve"> </w:t>
      </w:r>
      <w:r>
        <w:rPr>
          <w:rFonts w:asciiTheme="minorEastAsia" w:eastAsiaTheme="minorEastAsia" w:hAnsiTheme="minorEastAsia"/>
          <w:b w:val="0"/>
          <w:sz w:val="21"/>
          <w:szCs w:val="21"/>
          <w:u w:val="single"/>
        </w:rPr>
        <w:tab/>
      </w:r>
      <w:r>
        <w:rPr>
          <w:rFonts w:asciiTheme="minorEastAsia" w:eastAsiaTheme="minorEastAsia" w:hAnsiTheme="minorEastAsia"/>
          <w:b w:val="0"/>
          <w:sz w:val="21"/>
          <w:szCs w:val="21"/>
        </w:rPr>
        <w:t>人，营业收入为</w:t>
      </w:r>
      <w:r>
        <w:rPr>
          <w:rFonts w:asciiTheme="minorEastAsia" w:eastAsiaTheme="minorEastAsia" w:hAnsiTheme="minorEastAsia"/>
          <w:b w:val="0"/>
          <w:sz w:val="21"/>
          <w:szCs w:val="21"/>
          <w:u w:val="single"/>
        </w:rPr>
        <w:t xml:space="preserve"> </w:t>
      </w:r>
      <w:r>
        <w:rPr>
          <w:rFonts w:asciiTheme="minorEastAsia" w:eastAsiaTheme="minorEastAsia" w:hAnsiTheme="minorEastAsia"/>
          <w:b w:val="0"/>
          <w:sz w:val="21"/>
          <w:szCs w:val="21"/>
          <w:u w:val="single"/>
        </w:rPr>
        <w:tab/>
      </w:r>
      <w:r>
        <w:rPr>
          <w:rFonts w:asciiTheme="minorEastAsia" w:eastAsiaTheme="minorEastAsia" w:hAnsiTheme="minorEastAsia" w:hint="eastAsia"/>
          <w:b w:val="0"/>
          <w:sz w:val="21"/>
          <w:szCs w:val="21"/>
          <w:u w:val="single"/>
        </w:rPr>
        <w:t xml:space="preserve">  </w:t>
      </w:r>
      <w:r>
        <w:rPr>
          <w:rFonts w:asciiTheme="minorEastAsia" w:eastAsiaTheme="minorEastAsia" w:hAnsiTheme="minorEastAsia"/>
          <w:b w:val="0"/>
          <w:sz w:val="21"/>
          <w:szCs w:val="21"/>
        </w:rPr>
        <w:t>万元，资产总额为</w:t>
      </w:r>
      <w:r>
        <w:rPr>
          <w:rFonts w:asciiTheme="minorEastAsia" w:eastAsiaTheme="minorEastAsia" w:hAnsiTheme="minorEastAsia" w:hint="eastAsia"/>
          <w:b w:val="0"/>
          <w:sz w:val="21"/>
          <w:szCs w:val="21"/>
          <w:u w:val="single"/>
        </w:rPr>
        <w:t xml:space="preserve">     </w:t>
      </w:r>
      <w:r>
        <w:rPr>
          <w:rFonts w:asciiTheme="minorEastAsia" w:eastAsiaTheme="minorEastAsia" w:hAnsiTheme="minorEastAsia"/>
          <w:b w:val="0"/>
          <w:sz w:val="21"/>
          <w:szCs w:val="21"/>
        </w:rPr>
        <w:t>万元，属于</w:t>
      </w:r>
      <w:r>
        <w:rPr>
          <w:rFonts w:asciiTheme="minorEastAsia" w:eastAsiaTheme="minorEastAsia" w:hAnsiTheme="minorEastAsia"/>
          <w:b w:val="0"/>
          <w:sz w:val="21"/>
          <w:szCs w:val="21"/>
          <w:u w:val="single"/>
        </w:rPr>
        <w:t>（中型企业、小型企业、微型企业）</w:t>
      </w:r>
      <w:r>
        <w:rPr>
          <w:rFonts w:asciiTheme="minorEastAsia" w:eastAsiaTheme="minorEastAsia" w:hAnsiTheme="minorEastAsia"/>
          <w:b w:val="0"/>
          <w:sz w:val="21"/>
          <w:szCs w:val="21"/>
        </w:rPr>
        <w:t>；</w:t>
      </w:r>
    </w:p>
    <w:p>
      <w:pPr>
        <w:pStyle w:val="BodyText"/>
        <w:spacing w:line="360" w:lineRule="exact"/>
        <w:ind w:firstLine="41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2. </w:t>
      </w:r>
      <w:r>
        <w:rPr>
          <w:rFonts w:asciiTheme="minorEastAsia" w:eastAsiaTheme="minorEastAsia" w:hAnsiTheme="minorEastAsia"/>
          <w:b w:val="0"/>
          <w:sz w:val="21"/>
          <w:szCs w:val="21"/>
          <w:u w:val="single"/>
        </w:rPr>
        <w:t>（标的名称）</w:t>
      </w:r>
      <w:r>
        <w:rPr>
          <w:rFonts w:asciiTheme="minorEastAsia" w:eastAsiaTheme="minorEastAsia" w:hAnsiTheme="minorEastAsia"/>
          <w:b w:val="0"/>
          <w:sz w:val="21"/>
          <w:szCs w:val="21"/>
        </w:rPr>
        <w:t>，属于</w:t>
      </w:r>
      <w:r>
        <w:rPr>
          <w:rFonts w:asciiTheme="minorEastAsia" w:eastAsiaTheme="minorEastAsia" w:hAnsiTheme="minorEastAsia"/>
          <w:b w:val="0"/>
          <w:sz w:val="21"/>
          <w:szCs w:val="21"/>
          <w:u w:val="single"/>
        </w:rPr>
        <w:t>（采购文件中明确的所属行业）</w:t>
      </w:r>
      <w:r>
        <w:rPr>
          <w:rFonts w:asciiTheme="minorEastAsia" w:eastAsiaTheme="minorEastAsia" w:hAnsiTheme="minorEastAsia"/>
          <w:b w:val="0"/>
          <w:sz w:val="21"/>
          <w:szCs w:val="21"/>
        </w:rPr>
        <w:t>；承接企业为</w:t>
      </w:r>
      <w:r>
        <w:rPr>
          <w:rFonts w:asciiTheme="minorEastAsia" w:eastAsiaTheme="minorEastAsia" w:hAnsiTheme="minorEastAsia"/>
          <w:b w:val="0"/>
          <w:sz w:val="21"/>
          <w:szCs w:val="21"/>
          <w:u w:val="single"/>
        </w:rPr>
        <w:t>（企业名称）</w:t>
      </w:r>
      <w:r>
        <w:rPr>
          <w:rFonts w:asciiTheme="minorEastAsia" w:eastAsiaTheme="minorEastAsia" w:hAnsiTheme="minorEastAsia"/>
          <w:b w:val="0"/>
          <w:sz w:val="21"/>
          <w:szCs w:val="21"/>
        </w:rPr>
        <w:t>，从业人员</w:t>
      </w:r>
      <w:r>
        <w:rPr>
          <w:rFonts w:asciiTheme="minorEastAsia" w:eastAsiaTheme="minorEastAsia" w:hAnsiTheme="minorEastAsia"/>
          <w:b w:val="0"/>
          <w:sz w:val="21"/>
          <w:szCs w:val="21"/>
          <w:u w:val="single"/>
        </w:rPr>
        <w:t xml:space="preserve"> </w:t>
      </w:r>
      <w:r>
        <w:rPr>
          <w:rFonts w:asciiTheme="minorEastAsia" w:eastAsiaTheme="minorEastAsia" w:hAnsiTheme="minorEastAsia"/>
          <w:b w:val="0"/>
          <w:sz w:val="21"/>
          <w:szCs w:val="21"/>
          <w:u w:val="single"/>
        </w:rPr>
        <w:tab/>
      </w:r>
      <w:r>
        <w:rPr>
          <w:rFonts w:asciiTheme="minorEastAsia" w:eastAsiaTheme="minorEastAsia" w:hAnsiTheme="minorEastAsia"/>
          <w:b w:val="0"/>
          <w:sz w:val="21"/>
          <w:szCs w:val="21"/>
        </w:rPr>
        <w:t>人，营业收入为</w:t>
      </w:r>
      <w:r>
        <w:rPr>
          <w:rFonts w:asciiTheme="minorEastAsia" w:eastAsiaTheme="minorEastAsia" w:hAnsiTheme="minorEastAsia"/>
          <w:b w:val="0"/>
          <w:sz w:val="21"/>
          <w:szCs w:val="21"/>
          <w:u w:val="single"/>
        </w:rPr>
        <w:t xml:space="preserve"> </w:t>
      </w:r>
      <w:r>
        <w:rPr>
          <w:rFonts w:asciiTheme="minorEastAsia" w:eastAsiaTheme="minorEastAsia" w:hAnsiTheme="minorEastAsia"/>
          <w:b w:val="0"/>
          <w:sz w:val="21"/>
          <w:szCs w:val="21"/>
          <w:u w:val="single"/>
        </w:rPr>
        <w:tab/>
      </w:r>
      <w:r>
        <w:rPr>
          <w:rFonts w:asciiTheme="minorEastAsia" w:eastAsiaTheme="minorEastAsia" w:hAnsiTheme="minorEastAsia" w:hint="eastAsia"/>
          <w:b w:val="0"/>
          <w:sz w:val="21"/>
          <w:szCs w:val="21"/>
          <w:u w:val="single"/>
        </w:rPr>
        <w:t xml:space="preserve">  </w:t>
      </w:r>
      <w:r>
        <w:rPr>
          <w:rFonts w:asciiTheme="minorEastAsia" w:eastAsiaTheme="minorEastAsia" w:hAnsiTheme="minorEastAsia"/>
          <w:b w:val="0"/>
          <w:sz w:val="21"/>
          <w:szCs w:val="21"/>
        </w:rPr>
        <w:t>万元，资产总额为</w:t>
      </w:r>
      <w:r>
        <w:rPr>
          <w:rFonts w:asciiTheme="minorEastAsia" w:eastAsiaTheme="minorEastAsia" w:hAnsiTheme="minorEastAsia" w:hint="eastAsia"/>
          <w:b w:val="0"/>
          <w:sz w:val="21"/>
          <w:szCs w:val="21"/>
          <w:u w:val="single"/>
        </w:rPr>
        <w:t xml:space="preserve">     </w:t>
      </w:r>
      <w:r>
        <w:rPr>
          <w:rFonts w:asciiTheme="minorEastAsia" w:eastAsiaTheme="minorEastAsia" w:hAnsiTheme="minorEastAsia"/>
          <w:b w:val="0"/>
          <w:sz w:val="21"/>
          <w:szCs w:val="21"/>
        </w:rPr>
        <w:t>万元，属于</w:t>
      </w:r>
      <w:r>
        <w:rPr>
          <w:rFonts w:asciiTheme="minorEastAsia" w:eastAsiaTheme="minorEastAsia" w:hAnsiTheme="minorEastAsia"/>
          <w:b w:val="0"/>
          <w:sz w:val="21"/>
          <w:szCs w:val="21"/>
          <w:u w:val="single"/>
        </w:rPr>
        <w:t>（中型企业、小型企业、微型企业）</w:t>
      </w:r>
      <w:r>
        <w:rPr>
          <w:rFonts w:asciiTheme="minorEastAsia" w:eastAsiaTheme="minorEastAsia" w:hAnsiTheme="minorEastAsia"/>
          <w:b w:val="0"/>
          <w:sz w:val="21"/>
          <w:szCs w:val="21"/>
        </w:rPr>
        <w:t>；</w:t>
      </w:r>
    </w:p>
    <w:p>
      <w:pPr>
        <w:pStyle w:val="BodyText"/>
        <w:spacing w:before="11" w:line="360" w:lineRule="exact"/>
        <w:ind w:firstLine="424" w:firstLineChars="202"/>
        <w:rPr>
          <w:rFonts w:asciiTheme="minorEastAsia" w:eastAsiaTheme="minorEastAsia" w:hAnsiTheme="minorEastAsia"/>
          <w:b w:val="0"/>
          <w:sz w:val="21"/>
          <w:szCs w:val="21"/>
        </w:rPr>
      </w:pPr>
      <w:r>
        <w:rPr>
          <w:rFonts w:asciiTheme="minorEastAsia" w:eastAsiaTheme="minorEastAsia" w:hAnsiTheme="minorEastAsia"/>
          <w:b w:val="0"/>
          <w:sz w:val="21"/>
          <w:szCs w:val="21"/>
        </w:rPr>
        <w:t>……</w:t>
      </w:r>
    </w:p>
    <w:p>
      <w:pPr>
        <w:pStyle w:val="BodyText"/>
        <w:spacing w:before="108" w:line="360" w:lineRule="exact"/>
        <w:ind w:firstLine="408"/>
        <w:rPr>
          <w:rFonts w:asciiTheme="minorEastAsia" w:eastAsiaTheme="minorEastAsia" w:hAnsiTheme="minorEastAsia"/>
          <w:b w:val="0"/>
          <w:sz w:val="21"/>
          <w:szCs w:val="21"/>
        </w:rPr>
      </w:pPr>
      <w:r>
        <w:rPr>
          <w:rFonts w:asciiTheme="minorEastAsia" w:eastAsiaTheme="minorEastAsia" w:hAnsiTheme="minorEastAsia"/>
          <w:b w:val="0"/>
          <w:sz w:val="21"/>
          <w:szCs w:val="21"/>
        </w:rPr>
        <w:t>以上企业，不属于大企业的分支机构，不存在控股股东为大企业的情形，也不存在与大企业的负责人为同一人的情形。</w:t>
      </w:r>
    </w:p>
    <w:p>
      <w:pPr>
        <w:spacing w:line="360" w:lineRule="exact"/>
        <w:ind w:firstLine="420" w:firstLineChars="20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pPr>
        <w:spacing w:line="360" w:lineRule="exact"/>
        <w:ind w:firstLine="420" w:firstLineChars="200"/>
        <w:rPr>
          <w:rFonts w:asciiTheme="minorEastAsia" w:eastAsiaTheme="minorEastAsia" w:hAnsiTheme="minorEastAsia"/>
          <w:szCs w:val="21"/>
        </w:rPr>
      </w:pPr>
      <w:r>
        <w:rPr>
          <w:rFonts w:asciiTheme="minorEastAsia" w:eastAsiaTheme="minorEastAsia" w:hAnsiTheme="minorEastAsia" w:hint="eastAsia"/>
          <w:szCs w:val="21"/>
        </w:rPr>
        <w:t>本企业已知悉《政府采购促进中小企业发展管理办法》（财库〔2020〕46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exact"/>
        <w:ind w:firstLine="420" w:firstLineChars="200"/>
        <w:rPr>
          <w:rFonts w:asciiTheme="minorEastAsia" w:eastAsiaTheme="minorEastAsia" w:hAnsiTheme="minorEastAsia"/>
          <w:szCs w:val="21"/>
        </w:rPr>
      </w:pPr>
    </w:p>
    <w:p>
      <w:pPr>
        <w:spacing w:line="360" w:lineRule="exact"/>
        <w:jc w:val="center"/>
        <w:rPr>
          <w:rFonts w:ascii="Times New Roman" w:hAnsi="Times New Roman"/>
          <w:szCs w:val="24"/>
        </w:rPr>
      </w:pPr>
      <w:r>
        <w:rPr>
          <w:rFonts w:ascii="Times New Roman" w:hAnsi="Times New Roman" w:hint="eastAsia"/>
          <w:szCs w:val="21"/>
        </w:rPr>
        <w:t xml:space="preserve">                           企业名称：</w:t>
      </w:r>
    </w:p>
    <w:p>
      <w:pPr>
        <w:spacing w:line="360" w:lineRule="exact"/>
        <w:rPr>
          <w:rFonts w:ascii="宋体" w:hAnsi="宋体"/>
          <w:szCs w:val="21"/>
        </w:rPr>
      </w:pPr>
      <w:r>
        <w:rPr>
          <w:rFonts w:ascii="宋体" w:hAnsi="宋体" w:hint="eastAsia"/>
          <w:szCs w:val="21"/>
        </w:rPr>
        <w:t xml:space="preserve">                                                         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pPr>
        <w:spacing w:line="360" w:lineRule="exact"/>
        <w:ind w:firstLine="420" w:firstLineChars="200"/>
        <w:rPr>
          <w:rFonts w:ascii="宋体" w:hAnsi="宋体"/>
          <w:szCs w:val="21"/>
        </w:rPr>
      </w:pPr>
      <w:r>
        <w:rPr>
          <w:rFonts w:ascii="宋体" w:hAnsi="宋体" w:hint="eastAsia"/>
          <w:szCs w:val="21"/>
        </w:rPr>
        <w:t>备注：</w:t>
      </w:r>
    </w:p>
    <w:p>
      <w:pPr>
        <w:spacing w:line="360" w:lineRule="exact"/>
        <w:ind w:firstLine="420" w:firstLineChars="20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w:t>
      </w:r>
    </w:p>
    <w:p>
      <w:pPr>
        <w:spacing w:line="360" w:lineRule="exact"/>
        <w:ind w:firstLine="420" w:firstLineChars="200"/>
        <w:rPr>
          <w:rFonts w:ascii="宋体" w:hAnsi="宋体"/>
          <w:szCs w:val="21"/>
        </w:rPr>
      </w:pPr>
      <w:r>
        <w:rPr>
          <w:rFonts w:ascii="宋体" w:hAnsi="宋体" w:hint="eastAsia"/>
          <w:szCs w:val="21"/>
        </w:rPr>
        <w:t>2、从业人员、营业收入、资产总额填报上一年度数据，无上一年度数据的新成立企业可不填报。</w:t>
      </w:r>
    </w:p>
    <w:p>
      <w:pPr>
        <w:spacing w:line="360" w:lineRule="exact"/>
        <w:ind w:firstLine="420" w:firstLineChars="200"/>
        <w:rPr>
          <w:rFonts w:ascii="宋体" w:hAnsi="宋体"/>
          <w:szCs w:val="21"/>
        </w:rPr>
      </w:pPr>
    </w:p>
    <w:p>
      <w:pPr>
        <w:spacing w:after="60" w:line="360" w:lineRule="exact"/>
        <w:jc w:val="center"/>
        <w:outlineLvl w:val="3"/>
        <w:rPr>
          <w:b/>
          <w:sz w:val="24"/>
        </w:rPr>
      </w:pPr>
      <w:r>
        <w:rPr>
          <w:rFonts w:hint="eastAsia"/>
          <w:b/>
          <w:sz w:val="24"/>
        </w:rPr>
        <w:t>2、监狱企业声明函</w:t>
      </w:r>
    </w:p>
    <w:p>
      <w:pPr>
        <w:spacing w:after="60" w:line="360" w:lineRule="exact"/>
        <w:ind w:firstLine="420" w:firstLineChars="200"/>
        <w:rPr>
          <w:rFonts w:ascii="宋体" w:hAnsi="宋体"/>
          <w:szCs w:val="21"/>
        </w:rPr>
      </w:pPr>
      <w:r>
        <w:rPr>
          <w:rFonts w:ascii="宋体" w:hAnsi="宋体" w:hint="eastAsia"/>
          <w:szCs w:val="21"/>
        </w:rPr>
        <w:t>本单位郑重声明，根据《关于政府采购支持监狱企业发展有关问题的通知》（财库〔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pPr>
        <w:spacing w:after="60" w:line="360" w:lineRule="exact"/>
        <w:ind w:firstLine="420" w:firstLineChars="200"/>
        <w:rPr>
          <w:rFonts w:ascii="宋体" w:hAnsi="宋体"/>
          <w:szCs w:val="21"/>
        </w:rPr>
      </w:pPr>
      <w:r>
        <w:rPr>
          <w:rFonts w:ascii="宋体" w:hAnsi="宋体" w:hint="eastAsia"/>
          <w:szCs w:val="21"/>
        </w:rPr>
        <w:t>本单位对上述声明的真实性负责。如有虚假，将依法承担相应责任。</w:t>
      </w:r>
    </w:p>
    <w:p>
      <w:pPr>
        <w:spacing w:line="360" w:lineRule="exact"/>
        <w:jc w:val="center"/>
      </w:pPr>
      <w:r>
        <w:rPr>
          <w:rFonts w:hint="eastAsia"/>
          <w:szCs w:val="21"/>
        </w:rPr>
        <w:t xml:space="preserve">                             单位名称：</w:t>
      </w:r>
    </w:p>
    <w:p>
      <w:pPr>
        <w:spacing w:line="360" w:lineRule="exact"/>
        <w:rPr>
          <w:rFonts w:ascii="宋体" w:hAnsi="宋体"/>
          <w:szCs w:val="21"/>
        </w:rPr>
      </w:pPr>
      <w:r>
        <w:rPr>
          <w:rFonts w:ascii="宋体" w:hAnsi="宋体" w:hint="eastAsia"/>
          <w:szCs w:val="21"/>
        </w:rPr>
        <w:t xml:space="preserve">                                                      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pPr>
        <w:spacing w:line="360" w:lineRule="exact"/>
        <w:ind w:firstLine="645"/>
        <w:rPr>
          <w:rFonts w:ascii="宋体"/>
          <w:b/>
          <w:szCs w:val="21"/>
        </w:rPr>
      </w:pPr>
      <w:r>
        <w:rPr>
          <w:rFonts w:ascii="宋体" w:hAnsi="宋体" w:hint="eastAsia"/>
          <w:szCs w:val="21"/>
        </w:rPr>
        <w:t xml:space="preserve">                                    </w:t>
      </w:r>
    </w:p>
    <w:p>
      <w:pPr>
        <w:spacing w:after="60" w:line="360" w:lineRule="exact"/>
        <w:ind w:firstLine="420" w:firstLineChars="200"/>
        <w:rPr>
          <w:rFonts w:ascii="宋体" w:hAnsi="宋体"/>
          <w:b/>
          <w:szCs w:val="21"/>
        </w:rPr>
      </w:pPr>
      <w:r>
        <w:rPr>
          <w:rFonts w:ascii="宋体" w:hAnsi="宋体" w:hint="eastAsia"/>
          <w:b/>
          <w:szCs w:val="21"/>
        </w:rPr>
        <w:t>附：省级以上监狱管理局、戒毒管理局（含新疆生产建设兵团）出具的监狱企业证明文件。</w:t>
      </w:r>
    </w:p>
    <w:p>
      <w:pPr>
        <w:ind w:left="723" w:hanging="630" w:hangingChars="300"/>
        <w:rPr>
          <w:b/>
          <w:sz w:val="24"/>
        </w:rPr>
      </w:pPr>
    </w:p>
    <w:p>
      <w:pPr>
        <w:spacing w:line="360" w:lineRule="exact"/>
        <w:ind w:firstLine="424" w:firstLineChars="202"/>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after="60" w:line="360" w:lineRule="exact"/>
        <w:ind w:firstLine="420" w:firstLineChars="200"/>
        <w:rPr>
          <w:rFonts w:ascii="宋体" w:hAnsi="宋体"/>
          <w:szCs w:val="21"/>
        </w:rPr>
      </w:pPr>
      <w:r>
        <w:rPr>
          <w:rFonts w:ascii="宋体" w:hAnsi="宋体" w:hint="eastAsia"/>
          <w:szCs w:val="21"/>
        </w:rPr>
        <w:t xml:space="preserve">                                     </w:t>
      </w:r>
    </w:p>
    <w:p>
      <w:pPr>
        <w:spacing w:after="60" w:line="360" w:lineRule="exact"/>
        <w:jc w:val="center"/>
        <w:outlineLvl w:val="3"/>
        <w:rPr>
          <w:b/>
          <w:bCs/>
        </w:rPr>
      </w:pPr>
      <w:r>
        <w:rPr>
          <w:rFonts w:hint="eastAsia"/>
          <w:b/>
          <w:sz w:val="24"/>
        </w:rPr>
        <w:t>3、残疾人福利性单位声明函</w:t>
      </w:r>
    </w:p>
    <w:p>
      <w:pPr>
        <w:spacing w:line="360" w:lineRule="exact"/>
        <w:ind w:firstLine="420" w:firstLineChars="200"/>
        <w:jc w:val="left"/>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项目采购活动，由本单位提供服务。</w:t>
      </w:r>
    </w:p>
    <w:p>
      <w:pPr>
        <w:spacing w:after="60" w:line="360" w:lineRule="exact"/>
        <w:ind w:firstLine="420" w:firstLineChars="200"/>
        <w:rPr>
          <w:rFonts w:ascii="宋体" w:hAnsi="宋体"/>
          <w:szCs w:val="21"/>
        </w:rPr>
      </w:pPr>
      <w:r>
        <w:rPr>
          <w:rFonts w:ascii="宋体" w:hAnsi="宋体" w:hint="eastAsia"/>
          <w:szCs w:val="21"/>
        </w:rPr>
        <w:t>本单位对上述声明的真实性负责。如有虚假，将依法承担相应责任。</w:t>
      </w:r>
    </w:p>
    <w:p>
      <w:pPr>
        <w:spacing w:after="60" w:line="360" w:lineRule="exact"/>
        <w:ind w:firstLine="420" w:firstLineChars="20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pPr>
        <w:spacing w:line="360" w:lineRule="exact"/>
        <w:jc w:val="center"/>
      </w:pPr>
      <w:r>
        <w:rPr>
          <w:rFonts w:hint="eastAsia"/>
          <w:szCs w:val="21"/>
        </w:rPr>
        <w:t xml:space="preserve">                             单位名称：</w:t>
      </w:r>
    </w:p>
    <w:p>
      <w:pPr>
        <w:spacing w:line="360" w:lineRule="exact"/>
        <w:rPr>
          <w:rFonts w:ascii="宋体" w:hAnsi="宋体"/>
          <w:szCs w:val="21"/>
        </w:rPr>
      </w:pPr>
      <w:r>
        <w:rPr>
          <w:rFonts w:ascii="宋体" w:hAnsi="宋体" w:hint="eastAsia"/>
          <w:szCs w:val="21"/>
        </w:rPr>
        <w:t xml:space="preserve">                                                      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pPr>
        <w:spacing w:line="360" w:lineRule="exact"/>
        <w:ind w:firstLine="424" w:firstLineChars="202"/>
      </w:pPr>
      <w:r>
        <w:rPr>
          <w:rFonts w:ascii="宋体" w:hAnsi="宋体" w:hint="eastAsia"/>
          <w:szCs w:val="21"/>
        </w:rPr>
        <w:t>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br w:type="page"/>
      </w:r>
    </w:p>
    <w:p>
      <w:pPr>
        <w:rPr>
          <w:rFonts w:ascii="仿宋_GB2312" w:eastAsia="仿宋_GB2312"/>
          <w:b/>
          <w:color w:val="FF0000"/>
          <w:sz w:val="30"/>
          <w:szCs w:val="30"/>
        </w:rPr>
      </w:pPr>
      <w:r>
        <w:rPr>
          <w:rFonts w:ascii="仿宋_GB2312" w:eastAsia="仿宋_GB2312" w:hint="eastAsia"/>
          <w:b/>
          <w:color w:val="FF0000"/>
          <w:sz w:val="30"/>
          <w:szCs w:val="30"/>
        </w:rPr>
        <w:t>投标文件附件（信息不公开部分）：</w:t>
      </w:r>
    </w:p>
    <w:p>
      <w:pPr>
        <w:keepNext/>
        <w:keepLines/>
        <w:spacing w:before="260" w:after="260"/>
        <w:jc w:val="center"/>
        <w:outlineLvl w:val="2"/>
        <w:rPr>
          <w:rFonts w:ascii="黑体" w:eastAsia="黑体" w:hAnsi="宋体"/>
          <w:bCs/>
          <w:kern w:val="0"/>
          <w:sz w:val="24"/>
          <w:szCs w:val="32"/>
        </w:rPr>
      </w:pPr>
      <w:r>
        <w:rPr>
          <w:rFonts w:ascii="黑体" w:eastAsia="黑体" w:hAnsi="宋体" w:hint="eastAsia"/>
          <w:bCs/>
          <w:kern w:val="0"/>
          <w:sz w:val="24"/>
          <w:szCs w:val="32"/>
        </w:rPr>
        <w:t>五、政府采购违法行为风险知悉确认书</w:t>
      </w:r>
    </w:p>
    <w:p>
      <w:pPr>
        <w:spacing w:line="360" w:lineRule="auto"/>
        <w:ind w:firstLine="420" w:firstLineChars="200"/>
        <w:rPr>
          <w:rFonts w:ascii="宋体" w:hAnsi="宋体"/>
          <w:szCs w:val="21"/>
        </w:rPr>
      </w:pPr>
      <w:r>
        <w:rPr>
          <w:rFonts w:ascii="宋体" w:hAnsi="宋体" w:hint="eastAsia"/>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0" w:firstLineChars="200"/>
        <w:rPr>
          <w:rFonts w:ascii="宋体" w:hAnsi="宋体"/>
          <w:b/>
          <w:szCs w:val="21"/>
        </w:rPr>
      </w:pPr>
      <w:r>
        <w:rPr>
          <w:rFonts w:ascii="宋体" w:hAnsi="宋体" w:hint="eastAsia"/>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ascii="宋体" w:hAnsi="宋体" w:hint="eastAsia"/>
          <w:szCs w:val="21"/>
        </w:rPr>
        <w:t>（一）通过转让或者租借等方式从其他单位获取资格或者资质证书投标的。</w:t>
      </w:r>
    </w:p>
    <w:p>
      <w:pPr>
        <w:spacing w:line="360" w:lineRule="auto"/>
        <w:ind w:firstLine="420" w:firstLineChars="200"/>
        <w:rPr>
          <w:rFonts w:ascii="宋体" w:hAnsi="宋体"/>
          <w:szCs w:val="21"/>
        </w:rPr>
      </w:pPr>
      <w:r>
        <w:rPr>
          <w:rFonts w:ascii="宋体" w:hAnsi="宋体" w:hint="eastAsia"/>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ascii="宋体" w:hAnsi="宋体" w:hint="eastAsia"/>
          <w:szCs w:val="21"/>
        </w:rPr>
        <w:t>（三）项目负责人或者主要技术人员不是本单位人员的。</w:t>
      </w:r>
    </w:p>
    <w:p>
      <w:pPr>
        <w:spacing w:line="360" w:lineRule="auto"/>
        <w:ind w:firstLine="420" w:firstLineChars="200"/>
        <w:rPr>
          <w:rFonts w:ascii="宋体" w:hAnsi="宋体"/>
          <w:szCs w:val="21"/>
        </w:rPr>
      </w:pPr>
      <w:r>
        <w:rPr>
          <w:rFonts w:ascii="宋体" w:hAnsi="宋体" w:hint="eastAsia"/>
          <w:szCs w:val="21"/>
        </w:rPr>
        <w:t>（四）投标保证金不是从投标供应商基本账户转出的。</w:t>
      </w:r>
    </w:p>
    <w:p>
      <w:pPr>
        <w:spacing w:line="360" w:lineRule="auto"/>
        <w:ind w:firstLine="420" w:firstLineChars="200"/>
        <w:rPr>
          <w:rFonts w:ascii="宋体" w:hAnsi="宋体"/>
          <w:szCs w:val="21"/>
        </w:rPr>
      </w:pPr>
      <w:r>
        <w:rPr>
          <w:rFonts w:ascii="宋体" w:hAnsi="宋体" w:hint="eastAsia"/>
          <w:szCs w:val="21"/>
        </w:rPr>
        <w:t>（五）其他隐瞒真实情况、提供虚假资料的行为。</w:t>
      </w:r>
    </w:p>
    <w:p>
      <w:pPr>
        <w:spacing w:line="360" w:lineRule="auto"/>
        <w:ind w:firstLine="420" w:firstLineChars="200"/>
        <w:rPr>
          <w:rFonts w:ascii="宋体" w:hAnsi="宋体"/>
          <w:b/>
          <w:szCs w:val="21"/>
        </w:rPr>
      </w:pPr>
      <w:r>
        <w:rPr>
          <w:rFonts w:ascii="宋体" w:hAnsi="宋体" w:hint="eastAsia"/>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ascii="宋体" w:hAnsi="宋体" w:hint="eastAsia"/>
          <w:szCs w:val="21"/>
        </w:rPr>
        <w:t>（一）投标供应商之间相互约定给予未中标的供应商利益补偿。</w:t>
      </w:r>
    </w:p>
    <w:p>
      <w:pPr>
        <w:spacing w:line="360" w:lineRule="auto"/>
        <w:ind w:firstLine="420" w:firstLineChars="200"/>
        <w:rPr>
          <w:rFonts w:ascii="宋体" w:hAnsi="宋体"/>
          <w:szCs w:val="21"/>
        </w:rPr>
      </w:pPr>
      <w:r>
        <w:rPr>
          <w:rFonts w:ascii="宋体" w:hAnsi="宋体" w:hint="eastAsia"/>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ascii="宋体" w:hAnsi="宋体" w:hint="eastAsia"/>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ascii="宋体" w:hAnsi="宋体" w:hint="eastAsia"/>
          <w:szCs w:val="21"/>
        </w:rPr>
        <w:t>（四）不同投标供应商的投标文件或部分投标文件相互混装。</w:t>
      </w:r>
    </w:p>
    <w:p>
      <w:pPr>
        <w:spacing w:line="360" w:lineRule="auto"/>
        <w:ind w:firstLine="420" w:firstLineChars="200"/>
        <w:rPr>
          <w:rFonts w:ascii="宋体" w:hAnsi="宋体"/>
          <w:szCs w:val="21"/>
        </w:rPr>
      </w:pPr>
      <w:r>
        <w:rPr>
          <w:rFonts w:ascii="宋体" w:hAnsi="宋体" w:hint="eastAsia"/>
          <w:szCs w:val="21"/>
        </w:rPr>
        <w:t>（五）不同投标供应商的投标文件内容存在非正常一致。</w:t>
      </w:r>
    </w:p>
    <w:p>
      <w:pPr>
        <w:spacing w:line="360" w:lineRule="auto"/>
        <w:ind w:firstLine="420" w:firstLineChars="200"/>
        <w:rPr>
          <w:rFonts w:ascii="宋体" w:hAnsi="宋体"/>
          <w:szCs w:val="21"/>
        </w:rPr>
      </w:pPr>
      <w:r>
        <w:rPr>
          <w:rFonts w:ascii="宋体" w:hAnsi="宋体" w:hint="eastAsia"/>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ascii="宋体" w:hAnsi="宋体" w:hint="eastAsia"/>
          <w:szCs w:val="21"/>
        </w:rPr>
        <w:t>（七）不同投标人的投标报价呈规律性差异。</w:t>
      </w:r>
    </w:p>
    <w:p>
      <w:pPr>
        <w:spacing w:line="360" w:lineRule="auto"/>
        <w:ind w:firstLine="420" w:firstLineChars="200"/>
        <w:rPr>
          <w:rFonts w:ascii="宋体" w:hAnsi="宋体"/>
          <w:szCs w:val="21"/>
        </w:rPr>
      </w:pPr>
      <w:r>
        <w:rPr>
          <w:rFonts w:ascii="宋体" w:hAnsi="宋体" w:hint="eastAsia"/>
          <w:szCs w:val="21"/>
        </w:rPr>
        <w:t>（八）不同投标人的投标保证金从同一单位或者个人的账户转出。</w:t>
      </w:r>
    </w:p>
    <w:p>
      <w:pPr>
        <w:spacing w:line="360" w:lineRule="auto"/>
        <w:ind w:firstLine="420" w:firstLineChars="200"/>
        <w:rPr>
          <w:rFonts w:ascii="宋体" w:hAnsi="宋体"/>
          <w:szCs w:val="21"/>
        </w:rPr>
      </w:pPr>
      <w:r>
        <w:rPr>
          <w:rFonts w:ascii="宋体" w:hAnsi="宋体" w:hint="eastAsia"/>
          <w:szCs w:val="21"/>
        </w:rPr>
        <w:t>（九）主管部门依照法律、法规认定的其他情形。</w:t>
      </w:r>
    </w:p>
    <w:p>
      <w:pPr>
        <w:spacing w:line="360" w:lineRule="auto"/>
        <w:ind w:firstLine="420" w:firstLineChars="200"/>
        <w:rPr>
          <w:rFonts w:ascii="宋体" w:hAnsi="宋体"/>
          <w:b/>
          <w:szCs w:val="21"/>
        </w:rPr>
      </w:pPr>
      <w:r>
        <w:rPr>
          <w:rFonts w:ascii="宋体" w:hAnsi="宋体" w:hint="eastAsia"/>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ascii="宋体" w:hAnsi="宋体" w:hint="eastAsia"/>
          <w:szCs w:val="21"/>
        </w:rPr>
        <w:t>（一）对于从其他主体获取的投标资料，供应商应审慎核查，确保投标资料的真实性。</w:t>
      </w:r>
      <w:r>
        <w:rPr>
          <w:rFonts w:ascii="宋体" w:hAnsi="宋体" w:hint="eastAsia"/>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ascii="宋体" w:hAnsi="宋体" w:hint="eastAsia"/>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ascii="宋体" w:hAnsi="宋体" w:hint="eastAsia"/>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ascii="宋体" w:hAnsi="宋体" w:hint="eastAsia"/>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ascii="宋体" w:hAnsi="宋体" w:hint="eastAsia"/>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ascii="宋体" w:hAnsi="宋体" w:hint="eastAsia"/>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0" w:firstLineChars="200"/>
        <w:rPr>
          <w:rFonts w:ascii="宋体" w:hAnsi="宋体"/>
          <w:szCs w:val="21"/>
        </w:rPr>
      </w:pPr>
      <w:r>
        <w:rPr>
          <w:rFonts w:ascii="宋体" w:hAnsi="宋体" w:hint="eastAsia"/>
          <w:b/>
          <w:szCs w:val="21"/>
        </w:rPr>
        <w:t>四、本公司已充分知悉政府采购违法、违规行为的法律后果。</w:t>
      </w:r>
      <w:r>
        <w:rPr>
          <w:rFonts w:ascii="宋体" w:hAnsi="宋体" w:hint="eastAsia"/>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0" w:firstLineChars="200"/>
        <w:rPr>
          <w:rFonts w:ascii="宋体" w:hAnsi="宋体"/>
          <w:b/>
          <w:szCs w:val="21"/>
        </w:rPr>
      </w:pPr>
      <w:r>
        <w:rPr>
          <w:rFonts w:ascii="宋体" w:hAnsi="宋体" w:hint="eastAsia"/>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ascii="宋体" w:hAnsi="宋体" w:eastAsiaTheme="minorEastAsia" w:cstheme="minorBidi" w:hint="eastAsia"/>
          <w:szCs w:val="21"/>
          <w:u w:val="single"/>
        </w:rPr>
        <w:t xml:space="preserve">                                                                                   </w:t>
      </w:r>
    </w:p>
    <w:p>
      <w:pPr>
        <w:spacing w:line="360" w:lineRule="auto"/>
        <w:rPr>
          <w:rFonts w:ascii="宋体" w:hAnsi="宋体" w:eastAsiaTheme="minorEastAsia" w:cstheme="minorBidi"/>
          <w:szCs w:val="21"/>
          <w:u w:val="single"/>
        </w:rPr>
      </w:pPr>
      <w:r>
        <w:rPr>
          <w:rFonts w:ascii="宋体" w:hAnsi="宋体" w:eastAsiaTheme="minorEastAsia" w:cstheme="minorBidi" w:hint="eastAsia"/>
          <w:szCs w:val="21"/>
          <w:u w:val="single"/>
        </w:rPr>
        <w:t xml:space="preserve">                                                                                       </w:t>
      </w:r>
    </w:p>
    <w:p>
      <w:pPr>
        <w:spacing w:line="360" w:lineRule="auto"/>
        <w:rPr>
          <w:rFonts w:ascii="宋体" w:hAnsi="宋体" w:eastAsiaTheme="minorEastAsia" w:cstheme="minorBidi"/>
          <w:szCs w:val="21"/>
          <w:u w:val="single"/>
        </w:rPr>
      </w:pPr>
      <w:r>
        <w:rPr>
          <w:rFonts w:ascii="宋体" w:hAnsi="宋体" w:eastAsiaTheme="minorEastAsia" w:cstheme="minorBidi" w:hint="eastAsia"/>
          <w:szCs w:val="21"/>
          <w:u w:val="single"/>
        </w:rPr>
        <w:t xml:space="preserve">                                                                                       </w:t>
      </w:r>
    </w:p>
    <w:p>
      <w:pPr>
        <w:spacing w:line="360" w:lineRule="auto"/>
        <w:rPr>
          <w:rFonts w:ascii="宋体" w:hAnsi="宋体"/>
          <w:szCs w:val="21"/>
          <w:u w:val="single"/>
        </w:rPr>
      </w:pPr>
    </w:p>
    <w:p>
      <w:pPr>
        <w:spacing w:line="360" w:lineRule="auto"/>
        <w:ind w:firstLine="420" w:firstLineChars="200"/>
        <w:rPr>
          <w:rFonts w:ascii="宋体" w:hAnsi="宋体"/>
          <w:szCs w:val="21"/>
        </w:rPr>
      </w:pPr>
      <w:r>
        <w:rPr>
          <w:rFonts w:ascii="宋体" w:hAnsi="宋体" w:hint="eastAsia"/>
          <w:szCs w:val="21"/>
        </w:rPr>
        <w:t>负责人</w:t>
      </w:r>
      <w:r>
        <w:rPr>
          <w:rFonts w:ascii="宋体" w:hAnsi="宋体"/>
          <w:szCs w:val="21"/>
        </w:rPr>
        <w:t>/</w:t>
      </w:r>
      <w:r>
        <w:rPr>
          <w:rFonts w:ascii="宋体" w:hAnsi="宋体" w:hint="eastAsia"/>
          <w:szCs w:val="21"/>
        </w:rPr>
        <w:t>投标授权代表签名：</w:t>
      </w:r>
    </w:p>
    <w:p>
      <w:pPr>
        <w:spacing w:line="360" w:lineRule="auto"/>
        <w:ind w:firstLine="420" w:firstLineChars="200"/>
        <w:rPr>
          <w:rFonts w:ascii="宋体" w:hAnsi="宋体"/>
          <w:szCs w:val="21"/>
        </w:rPr>
      </w:pPr>
      <w:r>
        <w:rPr>
          <w:rFonts w:ascii="宋体" w:hAnsi="宋体" w:hint="eastAsia"/>
          <w:szCs w:val="21"/>
        </w:rPr>
        <w:t>知悉人（公章）：</w:t>
      </w:r>
    </w:p>
    <w:p>
      <w:pPr>
        <w:spacing w:line="360" w:lineRule="auto"/>
        <w:ind w:firstLine="420" w:firstLineChars="200"/>
        <w:rPr>
          <w:rFonts w:ascii="宋体" w:hAnsi="宋体"/>
          <w:szCs w:val="21"/>
        </w:rPr>
      </w:pPr>
      <w:r>
        <w:rPr>
          <w:rFonts w:ascii="宋体" w:hAnsi="宋体" w:hint="eastAsia"/>
          <w:szCs w:val="21"/>
        </w:rPr>
        <w:t>日期：</w:t>
      </w:r>
    </w:p>
    <w:p>
      <w:pPr>
        <w:spacing w:line="360" w:lineRule="auto"/>
        <w:ind w:firstLine="420" w:firstLineChars="200"/>
        <w:rPr>
          <w:rFonts w:ascii="宋体" w:hAnsi="宋体"/>
          <w:szCs w:val="21"/>
        </w:rPr>
      </w:pPr>
    </w:p>
    <w:p>
      <w:pPr>
        <w:rPr>
          <w:rFonts w:ascii="仿宋_GB2312" w:eastAsia="仿宋_GB2312"/>
          <w:b/>
          <w:sz w:val="30"/>
          <w:szCs w:val="30"/>
        </w:rPr>
      </w:pPr>
    </w:p>
    <w:p>
      <w:pPr>
        <w:rPr>
          <w:rFonts w:ascii="黑体" w:eastAsia="黑体" w:hAnsi="宋体"/>
          <w:bCs/>
          <w:kern w:val="0"/>
          <w:sz w:val="24"/>
          <w:szCs w:val="32"/>
        </w:rPr>
      </w:pPr>
      <w:r>
        <w:rPr>
          <w:rFonts w:ascii="黑体" w:eastAsia="黑体" w:hAnsi="宋体" w:hint="eastAsia"/>
          <w:bCs/>
          <w:kern w:val="0"/>
          <w:sz w:val="24"/>
          <w:szCs w:val="32"/>
        </w:rPr>
        <w:br w:type="page"/>
      </w:r>
    </w:p>
    <w:p>
      <w:pPr>
        <w:spacing w:before="260" w:after="260"/>
        <w:jc w:val="center"/>
        <w:outlineLvl w:val="2"/>
        <w:rPr>
          <w:rFonts w:ascii="黑体" w:eastAsia="黑体" w:hAnsi="宋体"/>
          <w:bCs/>
          <w:kern w:val="0"/>
          <w:sz w:val="24"/>
          <w:szCs w:val="32"/>
        </w:rPr>
      </w:pPr>
      <w:r>
        <w:rPr>
          <w:rFonts w:ascii="黑体" w:eastAsia="黑体" w:hAnsi="宋体" w:hint="eastAsia"/>
          <w:bCs/>
          <w:kern w:val="0"/>
          <w:sz w:val="24"/>
          <w:szCs w:val="32"/>
        </w:rPr>
        <w:t>六、法定代表人（负责人）资格证明书</w:t>
      </w:r>
    </w:p>
    <w:p>
      <w:pPr>
        <w:rPr>
          <w:rFonts w:ascii="Times New Roman" w:hAnsi="Times New Roman"/>
          <w:sz w:val="24"/>
          <w:szCs w:val="24"/>
        </w:rPr>
      </w:pPr>
    </w:p>
    <w:p>
      <w:pPr>
        <w:spacing w:line="360" w:lineRule="auto"/>
        <w:rPr>
          <w:rFonts w:ascii="Times New Roman" w:hAnsi="Times New Roman"/>
          <w:szCs w:val="21"/>
        </w:rPr>
      </w:pPr>
      <w:r>
        <w:rPr>
          <w:rFonts w:ascii="Times New Roman" w:hAnsi="Times New Roman" w:hint="eastAsia"/>
          <w:szCs w:val="21"/>
        </w:rPr>
        <w:t xml:space="preserve">   </w:t>
      </w:r>
      <w:r>
        <w:rPr>
          <w:rFonts w:ascii="Times New Roman" w:hAnsi="Times New Roman" w:hint="eastAsia"/>
          <w:szCs w:val="21"/>
          <w:u w:val="single"/>
        </w:rPr>
        <w:t xml:space="preserve">         </w:t>
      </w:r>
      <w:r>
        <w:rPr>
          <w:rFonts w:ascii="Times New Roman" w:hAnsi="Times New Roman" w:hint="eastAsia"/>
          <w:szCs w:val="21"/>
        </w:rPr>
        <w:t>同志，现任我单位</w:t>
      </w:r>
      <w:r>
        <w:rPr>
          <w:rFonts w:ascii="Times New Roman" w:hAnsi="Times New Roman" w:hint="eastAsia"/>
          <w:szCs w:val="21"/>
          <w:u w:val="single"/>
        </w:rPr>
        <w:t xml:space="preserve">         </w:t>
      </w:r>
      <w:r>
        <w:rPr>
          <w:rFonts w:ascii="Times New Roman" w:hAnsi="Times New Roman" w:hint="eastAsia"/>
          <w:szCs w:val="21"/>
        </w:rPr>
        <w:t>职务，为法定代表人</w:t>
      </w:r>
      <w:r>
        <w:rPr>
          <w:rFonts w:ascii="黑体" w:eastAsia="黑体" w:hAnsi="Times New Roman" w:hint="eastAsia"/>
          <w:b/>
          <w:kern w:val="0"/>
          <w:sz w:val="24"/>
          <w:szCs w:val="24"/>
        </w:rPr>
        <w:t>（负责人）</w:t>
      </w:r>
      <w:r>
        <w:rPr>
          <w:rFonts w:ascii="Times New Roman" w:hAnsi="Times New Roman" w:hint="eastAsia"/>
          <w:szCs w:val="21"/>
        </w:rPr>
        <w:t>，特此证明。</w:t>
      </w:r>
    </w:p>
    <w:p>
      <w:pPr>
        <w:spacing w:line="360" w:lineRule="auto"/>
        <w:rPr>
          <w:rFonts w:ascii="Times New Roman" w:hAnsi="Times New Roman"/>
          <w:szCs w:val="21"/>
        </w:rPr>
      </w:pPr>
      <w:r>
        <w:rPr>
          <w:rFonts w:ascii="Times New Roman" w:hAnsi="Times New Roman" w:hint="eastAsia"/>
          <w:szCs w:val="21"/>
        </w:rPr>
        <w:t>说明：1、法定代表人为企业事业单位、国家机关、社会团体的主要负责人。</w:t>
      </w:r>
    </w:p>
    <w:p>
      <w:pPr>
        <w:rPr>
          <w:rFonts w:ascii="Times New Roman" w:hAnsi="Times New Roman"/>
          <w:szCs w:val="21"/>
        </w:rPr>
      </w:pPr>
      <w:r>
        <w:rPr>
          <w:rFonts w:ascii="Times New Roman" w:hAnsi="Times New Roman" w:hint="eastAsia"/>
          <w:szCs w:val="21"/>
        </w:rPr>
        <w:t xml:space="preserve">      2、内容必须填写真实、清楚，涂改无效，不得转让、买卖。</w:t>
      </w:r>
    </w:p>
    <w:p>
      <w:pPr>
        <w:spacing w:line="360" w:lineRule="auto"/>
        <w:rPr>
          <w:rFonts w:ascii="Times New Roman" w:hAnsi="Times New Roman"/>
          <w:b/>
          <w:szCs w:val="21"/>
        </w:rPr>
      </w:pPr>
    </w:p>
    <w:p>
      <w:pPr>
        <w:spacing w:line="360" w:lineRule="auto"/>
        <w:rPr>
          <w:rFonts w:ascii="Times New Roman" w:hAnsi="Times New Roman"/>
          <w:b/>
          <w:sz w:val="24"/>
          <w:szCs w:val="24"/>
        </w:rPr>
      </w:pPr>
      <w:r>
        <w:rPr>
          <w:rFonts w:ascii="Times New Roman" w:hAnsi="Times New Roman" w:hint="eastAsia"/>
          <w:b/>
          <w:sz w:val="24"/>
          <w:szCs w:val="24"/>
        </w:rPr>
        <w:t>附：要求必须提供法定代表人（负责人）身份证扫描件（正反两面）。</w:t>
      </w:r>
    </w:p>
    <w:p>
      <w:pPr>
        <w:spacing w:line="360" w:lineRule="auto"/>
        <w:rPr>
          <w:rFonts w:ascii="Times New Roman" w:hAnsi="Times New Roman"/>
          <w:b/>
          <w:sz w:val="24"/>
          <w:szCs w:val="24"/>
        </w:rPr>
      </w:pPr>
    </w:p>
    <w:p>
      <w:pPr>
        <w:spacing w:before="260" w:after="260"/>
        <w:jc w:val="center"/>
        <w:outlineLvl w:val="2"/>
        <w:rPr>
          <w:rFonts w:ascii="黑体" w:eastAsia="黑体" w:hAnsi="宋体"/>
          <w:bCs/>
          <w:sz w:val="24"/>
          <w:szCs w:val="24"/>
        </w:rPr>
      </w:pPr>
      <w:r>
        <w:rPr>
          <w:rFonts w:ascii="宋体" w:hAnsi="宋体"/>
          <w:b/>
          <w:bCs/>
          <w:sz w:val="28"/>
          <w:szCs w:val="32"/>
        </w:rPr>
        <w:tab/>
      </w:r>
      <w:r>
        <w:rPr>
          <w:rFonts w:ascii="黑体" w:eastAsia="黑体" w:hAnsi="宋体" w:hint="eastAsia"/>
          <w:bCs/>
          <w:kern w:val="0"/>
          <w:sz w:val="24"/>
          <w:szCs w:val="24"/>
        </w:rPr>
        <w:t>七、投标文件签署授权委托书</w:t>
      </w:r>
    </w:p>
    <w:p>
      <w:pPr>
        <w:spacing w:line="360" w:lineRule="auto"/>
        <w:ind w:firstLine="420" w:firstLineChars="200"/>
        <w:rPr>
          <w:rFonts w:ascii="Times New Roman" w:hAnsi="Times New Roman"/>
          <w:szCs w:val="21"/>
        </w:rPr>
      </w:pPr>
      <w:r>
        <w:rPr>
          <w:rFonts w:ascii="Times New Roman" w:hAnsi="Times New Roman" w:hint="eastAsia"/>
          <w:szCs w:val="21"/>
        </w:rPr>
        <w:t>本授权委托书声明：我</w:t>
      </w:r>
      <w:r>
        <w:rPr>
          <w:rFonts w:ascii="Times New Roman" w:hAnsi="Times New Roman" w:hint="eastAsia"/>
          <w:szCs w:val="21"/>
          <w:u w:val="single"/>
        </w:rPr>
        <w:t xml:space="preserve">           </w:t>
      </w:r>
      <w:r>
        <w:rPr>
          <w:rFonts w:ascii="Times New Roman" w:hAnsi="Times New Roman" w:hint="eastAsia"/>
          <w:szCs w:val="21"/>
        </w:rPr>
        <w:t>（姓名）系</w:t>
      </w:r>
      <w:r>
        <w:rPr>
          <w:rFonts w:ascii="Times New Roman" w:hAnsi="Times New Roman" w:hint="eastAsia"/>
          <w:szCs w:val="21"/>
          <w:u w:val="single"/>
        </w:rPr>
        <w:t xml:space="preserve">             </w:t>
      </w:r>
      <w:r>
        <w:rPr>
          <w:rFonts w:ascii="Times New Roman" w:hAnsi="Times New Roman" w:hint="eastAsia"/>
          <w:szCs w:val="21"/>
        </w:rPr>
        <w:t>（投标供应商名称）的法定代表人</w:t>
      </w:r>
      <w:r>
        <w:rPr>
          <w:rFonts w:ascii="黑体" w:eastAsia="黑体" w:hAnsi="Times New Roman" w:hint="eastAsia"/>
          <w:b/>
          <w:kern w:val="0"/>
          <w:sz w:val="24"/>
          <w:szCs w:val="24"/>
        </w:rPr>
        <w:t>（负责人）</w:t>
      </w:r>
      <w:r>
        <w:rPr>
          <w:rFonts w:ascii="Times New Roman" w:hAnsi="Times New Roman" w:hint="eastAsia"/>
          <w:szCs w:val="21"/>
        </w:rPr>
        <w:t>，现授权委托</w:t>
      </w:r>
      <w:r>
        <w:rPr>
          <w:rFonts w:ascii="Times New Roman" w:hAnsi="Times New Roman" w:hint="eastAsia"/>
          <w:szCs w:val="21"/>
          <w:u w:val="single"/>
        </w:rPr>
        <w:t xml:space="preserve">            </w:t>
      </w:r>
      <w:r>
        <w:rPr>
          <w:rFonts w:ascii="Times New Roman" w:hAnsi="Times New Roman" w:hint="eastAsia"/>
          <w:szCs w:val="21"/>
        </w:rPr>
        <w:t>（姓名）为我公司签署本项目已递交的投标文件的法定代表人的授权委托代理人，代理人全权代表我所签署的本项目已递交的投标文件内容我均承认。</w:t>
      </w:r>
    </w:p>
    <w:p>
      <w:pPr>
        <w:spacing w:line="360" w:lineRule="auto"/>
        <w:ind w:firstLine="420"/>
        <w:rPr>
          <w:rFonts w:ascii="Times New Roman" w:hAnsi="Times New Roman"/>
          <w:szCs w:val="21"/>
        </w:rPr>
      </w:pPr>
      <w:r>
        <w:rPr>
          <w:rFonts w:ascii="Times New Roman" w:hAnsi="Times New Roman" w:hint="eastAsia"/>
          <w:szCs w:val="21"/>
        </w:rPr>
        <w:t>代理人无转委托权，特此委托。</w:t>
      </w:r>
    </w:p>
    <w:p>
      <w:pPr>
        <w:spacing w:line="360" w:lineRule="auto"/>
        <w:ind w:firstLine="420"/>
        <w:rPr>
          <w:rFonts w:ascii="Times New Roman" w:hAnsi="Times New Roman"/>
          <w:szCs w:val="21"/>
        </w:rPr>
      </w:pPr>
    </w:p>
    <w:p>
      <w:pPr>
        <w:spacing w:line="360" w:lineRule="auto"/>
        <w:ind w:left="540" w:leftChars="257"/>
        <w:rPr>
          <w:rFonts w:ascii="Times New Roman" w:hAnsi="Times New Roman"/>
          <w:szCs w:val="21"/>
          <w:u w:val="single"/>
        </w:rPr>
      </w:pPr>
      <w:r>
        <w:rPr>
          <w:rFonts w:ascii="Times New Roman" w:hAnsi="Times New Roman" w:hint="eastAsia"/>
          <w:szCs w:val="21"/>
        </w:rPr>
        <w:t>代理人：</w:t>
      </w:r>
      <w:r>
        <w:rPr>
          <w:rFonts w:ascii="Times New Roman" w:hAnsi="Times New Roman" w:hint="eastAsia"/>
          <w:szCs w:val="21"/>
          <w:u w:val="single"/>
        </w:rPr>
        <w:t xml:space="preserve">             </w:t>
      </w:r>
    </w:p>
    <w:p>
      <w:pPr>
        <w:spacing w:line="360" w:lineRule="auto"/>
        <w:ind w:left="540" w:leftChars="257"/>
        <w:rPr>
          <w:rFonts w:ascii="Times New Roman" w:hAnsi="Times New Roman"/>
          <w:szCs w:val="21"/>
        </w:rPr>
      </w:pPr>
      <w:r>
        <w:rPr>
          <w:rFonts w:ascii="Times New Roman" w:hAnsi="Times New Roman" w:hint="eastAsia"/>
          <w:szCs w:val="21"/>
        </w:rPr>
        <w:t>联系电话：</w:t>
      </w:r>
      <w:r>
        <w:rPr>
          <w:rFonts w:ascii="Times New Roman" w:hAnsi="Times New Roman" w:hint="eastAsia"/>
          <w:szCs w:val="21"/>
          <w:u w:val="single"/>
        </w:rPr>
        <w:t xml:space="preserve">            </w:t>
      </w:r>
      <w:r>
        <w:rPr>
          <w:rFonts w:ascii="Times New Roman" w:hAnsi="Times New Roman" w:hint="eastAsia"/>
          <w:szCs w:val="21"/>
        </w:rPr>
        <w:t xml:space="preserve">  手机：</w:t>
      </w:r>
      <w:r>
        <w:rPr>
          <w:rFonts w:ascii="Times New Roman" w:hAnsi="Times New Roman" w:hint="eastAsia"/>
          <w:szCs w:val="21"/>
          <w:u w:val="single"/>
        </w:rPr>
        <w:t xml:space="preserve">                   </w:t>
      </w:r>
    </w:p>
    <w:p>
      <w:pPr>
        <w:spacing w:line="360" w:lineRule="auto"/>
        <w:ind w:left="540" w:leftChars="257"/>
        <w:rPr>
          <w:rFonts w:ascii="Times New Roman" w:hAnsi="Times New Roman"/>
          <w:szCs w:val="21"/>
          <w:u w:val="single"/>
        </w:rPr>
      </w:pPr>
      <w:r>
        <w:rPr>
          <w:rFonts w:ascii="Times New Roman" w:hAnsi="Times New Roman" w:hint="eastAsia"/>
          <w:szCs w:val="21"/>
        </w:rPr>
        <w:t>身份证号码：</w:t>
      </w:r>
      <w:r>
        <w:rPr>
          <w:rFonts w:ascii="Times New Roman" w:hAnsi="Times New Roman" w:hint="eastAsia"/>
          <w:szCs w:val="21"/>
          <w:u w:val="single"/>
        </w:rPr>
        <w:t xml:space="preserve">                        </w:t>
      </w:r>
      <w:r>
        <w:rPr>
          <w:rFonts w:ascii="Times New Roman" w:hAnsi="Times New Roman" w:hint="eastAsia"/>
          <w:szCs w:val="21"/>
        </w:rPr>
        <w:t>职务：</w:t>
      </w:r>
      <w:r>
        <w:rPr>
          <w:rFonts w:ascii="Times New Roman" w:hAnsi="Times New Roman" w:hint="eastAsia"/>
          <w:szCs w:val="21"/>
          <w:u w:val="single"/>
        </w:rPr>
        <w:t xml:space="preserve">       </w:t>
      </w:r>
    </w:p>
    <w:p>
      <w:pPr>
        <w:spacing w:line="360" w:lineRule="auto"/>
        <w:ind w:left="540" w:leftChars="257"/>
        <w:rPr>
          <w:rFonts w:ascii="Times New Roman" w:hAnsi="Times New Roman"/>
          <w:szCs w:val="21"/>
        </w:rPr>
      </w:pPr>
      <w:r>
        <w:rPr>
          <w:rFonts w:ascii="Times New Roman" w:hAnsi="Times New Roman" w:hint="eastAsia"/>
          <w:szCs w:val="21"/>
        </w:rPr>
        <w:t>授权委托日期：</w:t>
      </w:r>
      <w:r>
        <w:rPr>
          <w:rFonts w:ascii="Times New Roman" w:hAnsi="Times New Roman" w:hint="eastAsia"/>
          <w:szCs w:val="21"/>
          <w:u w:val="single"/>
        </w:rPr>
        <w:t xml:space="preserve">         </w:t>
      </w:r>
      <w:r>
        <w:rPr>
          <w:rFonts w:ascii="Times New Roman" w:hAnsi="Times New Roman" w:hint="eastAsia"/>
          <w:szCs w:val="21"/>
        </w:rPr>
        <w:t>年</w:t>
      </w:r>
      <w:r>
        <w:rPr>
          <w:rFonts w:ascii="Times New Roman" w:hAnsi="Times New Roman" w:hint="eastAsia"/>
          <w:szCs w:val="21"/>
          <w:u w:val="single"/>
        </w:rPr>
        <w:t xml:space="preserve">     </w:t>
      </w:r>
      <w:r>
        <w:rPr>
          <w:rFonts w:ascii="Times New Roman" w:hAnsi="Times New Roman" w:hint="eastAsia"/>
          <w:szCs w:val="21"/>
        </w:rPr>
        <w:t xml:space="preserve">月 </w:t>
      </w:r>
      <w:r>
        <w:rPr>
          <w:rFonts w:ascii="Times New Roman" w:hAnsi="Times New Roman" w:hint="eastAsia"/>
          <w:szCs w:val="21"/>
          <w:u w:val="single"/>
        </w:rPr>
        <w:t xml:space="preserve">      </w:t>
      </w:r>
      <w:r>
        <w:rPr>
          <w:rFonts w:ascii="Times New Roman" w:hAnsi="Times New Roman" w:hint="eastAsia"/>
          <w:szCs w:val="21"/>
        </w:rPr>
        <w:t>日</w:t>
      </w:r>
    </w:p>
    <w:p>
      <w:pPr>
        <w:spacing w:line="360" w:lineRule="auto"/>
        <w:ind w:left="540" w:leftChars="257"/>
        <w:rPr>
          <w:rFonts w:ascii="Times New Roman" w:hAnsi="Times New Roman"/>
          <w:szCs w:val="21"/>
          <w:u w:val="single"/>
        </w:rPr>
      </w:pPr>
    </w:p>
    <w:p>
      <w:pPr>
        <w:spacing w:line="360" w:lineRule="auto"/>
        <w:rPr>
          <w:rFonts w:ascii="Times New Roman" w:hAnsi="Times New Roman"/>
          <w:b/>
          <w:sz w:val="24"/>
          <w:szCs w:val="24"/>
        </w:rPr>
      </w:pPr>
      <w:r>
        <w:rPr>
          <w:rFonts w:ascii="Times New Roman" w:hAnsi="Times New Roman" w:hint="eastAsia"/>
          <w:b/>
          <w:sz w:val="24"/>
          <w:szCs w:val="24"/>
        </w:rPr>
        <w:t>附：要求必须提供代理人身份证扫描件（正反两面）。</w:t>
      </w:r>
    </w:p>
    <w:p>
      <w:pPr>
        <w:spacing w:line="360" w:lineRule="auto"/>
        <w:rPr>
          <w:rFonts w:ascii="黑体" w:eastAsia="黑体"/>
          <w:b/>
          <w:sz w:val="24"/>
        </w:rPr>
      </w:pPr>
    </w:p>
    <w:p>
      <w:pPr>
        <w:spacing w:before="260" w:after="260"/>
        <w:jc w:val="center"/>
        <w:outlineLvl w:val="2"/>
        <w:rPr>
          <w:rFonts w:ascii="黑体" w:eastAsia="黑体" w:hAnsi="宋体"/>
          <w:bCs/>
          <w:kern w:val="0"/>
          <w:sz w:val="24"/>
          <w:szCs w:val="24"/>
        </w:rPr>
      </w:pPr>
      <w:r>
        <w:rPr>
          <w:rFonts w:ascii="黑体" w:eastAsia="黑体" w:hAnsi="宋体" w:hint="eastAsia"/>
          <w:bCs/>
          <w:kern w:val="0"/>
          <w:sz w:val="24"/>
          <w:szCs w:val="24"/>
        </w:rPr>
        <w:t>八、实质性条款响应情况表</w:t>
      </w:r>
    </w:p>
    <w:tbl>
      <w:tblPr>
        <w:tblStyle w:val="TableNormal"/>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05"/>
        <w:gridCol w:w="7140"/>
        <w:gridCol w:w="1335"/>
      </w:tblGrid>
      <w:tr>
        <w:tblPrEx>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hAnsi="宋体"/>
                <w:kern w:val="0"/>
                <w:szCs w:val="21"/>
              </w:rPr>
            </w:pPr>
            <w:r>
              <w:rPr>
                <w:rFonts w:ascii="宋体" w:hAnsi="宋体" w:hint="eastAsia"/>
                <w:kern w:val="0"/>
                <w:szCs w:val="21"/>
              </w:rPr>
              <w:t>序号</w:t>
            </w:r>
          </w:p>
        </w:tc>
        <w:tc>
          <w:tcPr>
            <w:tcW w:w="7140" w:type="dxa"/>
            <w:vAlign w:val="center"/>
          </w:tcPr>
          <w:p>
            <w:pPr>
              <w:adjustRightInd w:val="0"/>
              <w:snapToGrid w:val="0"/>
              <w:spacing w:line="360" w:lineRule="auto"/>
              <w:jc w:val="center"/>
              <w:rPr>
                <w:rFonts w:ascii="宋体" w:hAnsi="宋体"/>
                <w:kern w:val="0"/>
                <w:szCs w:val="21"/>
              </w:rPr>
            </w:pPr>
            <w:r>
              <w:rPr>
                <w:rFonts w:ascii="宋体" w:hAnsi="宋体" w:hint="eastAsia"/>
                <w:kern w:val="0"/>
                <w:szCs w:val="21"/>
              </w:rPr>
              <w:t>采购人要求内容</w:t>
            </w:r>
          </w:p>
        </w:tc>
        <w:tc>
          <w:tcPr>
            <w:tcW w:w="1335" w:type="dxa"/>
            <w:vAlign w:val="center"/>
          </w:tcPr>
          <w:p>
            <w:pPr>
              <w:adjustRightInd w:val="0"/>
              <w:snapToGrid w:val="0"/>
              <w:spacing w:line="360" w:lineRule="auto"/>
              <w:jc w:val="center"/>
              <w:rPr>
                <w:rFonts w:ascii="宋体" w:hAnsi="宋体"/>
                <w:kern w:val="0"/>
                <w:szCs w:val="21"/>
              </w:rPr>
            </w:pPr>
            <w:r>
              <w:rPr>
                <w:rFonts w:ascii="宋体" w:hAnsi="宋体" w:hint="eastAsia"/>
                <w:kern w:val="0"/>
                <w:szCs w:val="21"/>
              </w:rPr>
              <w:t>投标人响应情况</w:t>
            </w:r>
          </w:p>
        </w:tc>
      </w:tr>
      <w:tr>
        <w:tblPrEx>
          <w:tblW w:w="9180" w:type="dxa"/>
          <w:tblInd w:w="0" w:type="dxa"/>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hAnsi="宋体"/>
                <w:kern w:val="0"/>
                <w:szCs w:val="21"/>
              </w:rPr>
            </w:pPr>
            <w:r>
              <w:rPr>
                <w:rFonts w:ascii="宋体" w:hAnsi="宋体" w:hint="eastAsia"/>
                <w:kern w:val="0"/>
                <w:szCs w:val="21"/>
              </w:rPr>
              <w:t>1</w:t>
            </w:r>
          </w:p>
        </w:tc>
        <w:tc>
          <w:tcPr>
            <w:tcW w:w="7140" w:type="dxa"/>
            <w:vAlign w:val="center"/>
          </w:tcPr>
          <w:p>
            <w:pPr>
              <w:adjustRightInd w:val="0"/>
              <w:snapToGrid w:val="0"/>
              <w:spacing w:line="360" w:lineRule="auto"/>
              <w:jc w:val="left"/>
              <w:rPr>
                <w:rFonts w:ascii="Times New Roman" w:hAnsi="宋体"/>
                <w:kern w:val="0"/>
                <w:szCs w:val="21"/>
              </w:rPr>
            </w:pPr>
            <w:r>
              <w:rPr>
                <w:rFonts w:ascii="宋体" w:eastAsia="宋体" w:hAnsi="宋体" w:cs="宋体" w:hint="eastAsia"/>
                <w:kern w:val="0"/>
                <w:sz w:val="21"/>
                <w:szCs w:val="21"/>
                <w:lang w:eastAsia="zh-CN"/>
              </w:rPr>
              <w:t>项目</w:t>
            </w:r>
            <w:r>
              <w:rPr>
                <w:rFonts w:ascii="宋体" w:eastAsia="宋体" w:hAnsi="宋体" w:cs="宋体" w:hint="eastAsia"/>
                <w:kern w:val="0"/>
                <w:sz w:val="21"/>
                <w:szCs w:val="21"/>
                <w:lang w:val="en-US" w:eastAsia="zh-CN"/>
              </w:rPr>
              <w:t>经理</w:t>
            </w:r>
            <w:r>
              <w:rPr>
                <w:rFonts w:ascii="宋体" w:eastAsia="宋体" w:hAnsi="宋体" w:cs="宋体" w:hint="eastAsia"/>
                <w:kern w:val="0"/>
                <w:sz w:val="21"/>
                <w:szCs w:val="21"/>
                <w:lang w:eastAsia="zh-CN"/>
              </w:rPr>
              <w:t>所负责</w:t>
            </w:r>
            <w:r>
              <w:rPr>
                <w:rFonts w:ascii="宋体" w:eastAsia="宋体" w:hAnsi="宋体" w:cs="宋体" w:hint="eastAsia"/>
                <w:kern w:val="0"/>
                <w:sz w:val="21"/>
                <w:szCs w:val="21"/>
                <w:lang w:val="en-US" w:eastAsia="zh-CN"/>
              </w:rPr>
              <w:t>的</w:t>
            </w:r>
            <w:r>
              <w:rPr>
                <w:rFonts w:ascii="宋体" w:eastAsia="宋体" w:hAnsi="宋体" w:cs="宋体" w:hint="eastAsia"/>
                <w:kern w:val="0"/>
                <w:sz w:val="21"/>
                <w:szCs w:val="21"/>
                <w:lang w:eastAsia="zh-CN"/>
              </w:rPr>
              <w:t>项目数量不得超过两个（含本项目）。</w:t>
            </w:r>
          </w:p>
        </w:tc>
        <w:tc>
          <w:tcPr>
            <w:tcW w:w="1335" w:type="dxa"/>
          </w:tcPr>
          <w:p>
            <w:pPr>
              <w:adjustRightInd w:val="0"/>
              <w:snapToGrid w:val="0"/>
              <w:spacing w:line="360" w:lineRule="auto"/>
              <w:rPr>
                <w:rFonts w:ascii="宋体" w:hAnsi="宋体"/>
                <w:kern w:val="0"/>
                <w:szCs w:val="21"/>
              </w:rPr>
            </w:pPr>
          </w:p>
        </w:tc>
      </w:tr>
      <w:tr>
        <w:tblPrEx>
          <w:tblW w:w="9180" w:type="dxa"/>
          <w:tblInd w:w="0" w:type="dxa"/>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hAnsi="宋体"/>
                <w:kern w:val="0"/>
                <w:szCs w:val="21"/>
              </w:rPr>
            </w:pPr>
            <w:r>
              <w:rPr>
                <w:rFonts w:ascii="宋体" w:hAnsi="宋体" w:hint="eastAsia"/>
                <w:kern w:val="0"/>
                <w:szCs w:val="21"/>
              </w:rPr>
              <w:t>2</w:t>
            </w:r>
          </w:p>
        </w:tc>
        <w:tc>
          <w:tcPr>
            <w:tcW w:w="7140" w:type="dxa"/>
            <w:vAlign w:val="center"/>
          </w:tcPr>
          <w:p>
            <w:pPr>
              <w:adjustRightInd w:val="0"/>
              <w:snapToGrid w:val="0"/>
              <w:spacing w:line="360" w:lineRule="auto"/>
              <w:jc w:val="left"/>
              <w:rPr>
                <w:rFonts w:ascii="Times New Roman" w:hAnsi="宋体"/>
                <w:kern w:val="0"/>
                <w:szCs w:val="21"/>
              </w:rPr>
            </w:pPr>
            <w:r>
              <w:rPr>
                <w:rFonts w:ascii="宋体" w:eastAsia="宋体" w:hAnsi="宋体" w:cs="宋体" w:hint="eastAsia"/>
                <w:kern w:val="0"/>
                <w:sz w:val="21"/>
                <w:szCs w:val="21"/>
                <w:lang w:eastAsia="zh-CN"/>
              </w:rPr>
              <w:t>投标人需承诺在中标通知书发出后3天内组织项目维护团队人员进场开始交接工作（需提供《项目过渡期交接承诺函》作为响应依据，格式自拟，未提供承诺或承诺内容不满足要求的视为负偏离，按投标无效处理）。</w:t>
            </w:r>
          </w:p>
        </w:tc>
        <w:tc>
          <w:tcPr>
            <w:tcW w:w="1335" w:type="dxa"/>
          </w:tcPr>
          <w:p>
            <w:pPr>
              <w:adjustRightInd w:val="0"/>
              <w:snapToGrid w:val="0"/>
              <w:spacing w:line="360" w:lineRule="auto"/>
              <w:rPr>
                <w:rFonts w:ascii="宋体" w:hAnsi="宋体"/>
                <w:kern w:val="0"/>
                <w:szCs w:val="21"/>
              </w:rPr>
            </w:pPr>
          </w:p>
        </w:tc>
      </w:tr>
      <w:tr>
        <w:tblPrEx>
          <w:tblW w:w="9180" w:type="dxa"/>
          <w:tblInd w:w="0" w:type="dxa"/>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eastAsia="宋体" w:hAnsi="宋体" w:hint="eastAsia"/>
                <w:kern w:val="0"/>
                <w:szCs w:val="21"/>
                <w:lang w:val="en-US" w:eastAsia="zh-CN"/>
              </w:rPr>
            </w:pPr>
            <w:r>
              <w:rPr>
                <w:rFonts w:ascii="宋体" w:hAnsi="宋体" w:hint="eastAsia"/>
                <w:kern w:val="0"/>
                <w:szCs w:val="21"/>
                <w:lang w:val="en-US" w:eastAsia="zh-CN"/>
              </w:rPr>
              <w:t>3</w:t>
            </w:r>
          </w:p>
        </w:tc>
        <w:tc>
          <w:tcPr>
            <w:tcW w:w="7140" w:type="dxa"/>
            <w:vAlign w:val="center"/>
          </w:tcPr>
          <w:p>
            <w:pPr>
              <w:adjustRightInd w:val="0"/>
              <w:snapToGrid w:val="0"/>
              <w:spacing w:line="360" w:lineRule="auto"/>
              <w:jc w:val="left"/>
              <w:rPr>
                <w:rFonts w:ascii="宋体" w:eastAsia="宋体" w:hAnsi="宋体" w:cs="宋体" w:hint="eastAsia"/>
                <w:kern w:val="0"/>
                <w:sz w:val="21"/>
                <w:szCs w:val="21"/>
              </w:rPr>
            </w:pPr>
            <w:r>
              <w:rPr>
                <w:rFonts w:ascii="宋体" w:eastAsia="宋体" w:hAnsi="宋体" w:cs="宋体" w:hint="eastAsia"/>
                <w:kern w:val="0"/>
                <w:sz w:val="21"/>
                <w:szCs w:val="21"/>
              </w:rPr>
              <w:t>中标人需购买安全责任险中的第三者和施救费保险，保额需求：</w:t>
            </w:r>
          </w:p>
          <w:p>
            <w:pPr>
              <w:adjustRightInd w:val="0"/>
              <w:snapToGrid w:val="0"/>
              <w:spacing w:line="360" w:lineRule="auto"/>
              <w:jc w:val="left"/>
              <w:rPr>
                <w:rFonts w:ascii="宋体" w:eastAsia="宋体" w:hAnsi="宋体" w:cs="宋体" w:hint="eastAsia"/>
                <w:kern w:val="0"/>
                <w:sz w:val="21"/>
                <w:szCs w:val="21"/>
              </w:rPr>
            </w:pPr>
            <w:r>
              <w:rPr>
                <w:rFonts w:ascii="宋体" w:eastAsia="宋体" w:hAnsi="宋体" w:cs="宋体" w:hint="eastAsia"/>
                <w:kern w:val="0"/>
                <w:sz w:val="21"/>
                <w:szCs w:val="21"/>
              </w:rPr>
              <w:t>1）年累计赔偿限额5000万元；2）其中每次事故累计赔偿限额1000万元，每次事故每人赔偿限额200万元，每次事故财产损失赔偿限额200万元。</w:t>
            </w:r>
          </w:p>
          <w:p>
            <w:pPr>
              <w:adjustRightInd w:val="0"/>
              <w:snapToGrid w:val="0"/>
              <w:spacing w:line="360" w:lineRule="auto"/>
              <w:jc w:val="left"/>
              <w:rPr>
                <w:rFonts w:ascii="宋体" w:hAnsi="宋体"/>
                <w:kern w:val="0"/>
                <w:szCs w:val="21"/>
              </w:rPr>
            </w:pPr>
            <w:r>
              <w:rPr>
                <w:rFonts w:ascii="宋体" w:eastAsia="宋体" w:hAnsi="宋体" w:cs="宋体" w:hint="eastAsia"/>
                <w:kern w:val="0"/>
                <w:sz w:val="21"/>
                <w:szCs w:val="21"/>
              </w:rPr>
              <w:t>要求中标人需在中标后二十个工作日提供保单和发票复印件给采购人，作为第一笔款的付款依据，保单期限内不得退保。</w:t>
            </w:r>
          </w:p>
        </w:tc>
        <w:tc>
          <w:tcPr>
            <w:tcW w:w="1335" w:type="dxa"/>
          </w:tcPr>
          <w:p>
            <w:pPr>
              <w:adjustRightInd w:val="0"/>
              <w:snapToGrid w:val="0"/>
              <w:spacing w:line="360" w:lineRule="auto"/>
              <w:rPr>
                <w:rFonts w:ascii="宋体" w:hAnsi="宋体"/>
                <w:kern w:val="0"/>
                <w:szCs w:val="21"/>
              </w:rPr>
            </w:pPr>
          </w:p>
        </w:tc>
      </w:tr>
      <w:tr>
        <w:tblPrEx>
          <w:tblW w:w="9180" w:type="dxa"/>
          <w:tblInd w:w="0" w:type="dxa"/>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hAnsi="宋体" w:hint="default"/>
                <w:kern w:val="0"/>
                <w:szCs w:val="21"/>
                <w:lang w:val="en-US" w:eastAsia="zh-CN"/>
              </w:rPr>
            </w:pPr>
            <w:r>
              <w:rPr>
                <w:rFonts w:ascii="宋体" w:hAnsi="宋体" w:hint="eastAsia"/>
                <w:kern w:val="0"/>
                <w:szCs w:val="21"/>
                <w:lang w:val="en-US" w:eastAsia="zh-CN"/>
              </w:rPr>
              <w:t>4</w:t>
            </w:r>
          </w:p>
        </w:tc>
        <w:tc>
          <w:tcPr>
            <w:tcW w:w="7140" w:type="dxa"/>
            <w:vAlign w:val="center"/>
          </w:tcPr>
          <w:p>
            <w:pPr>
              <w:adjustRightInd w:val="0"/>
              <w:snapToGrid w:val="0"/>
              <w:spacing w:line="360" w:lineRule="auto"/>
              <w:jc w:val="left"/>
              <w:rPr>
                <w:rFonts w:ascii="宋体" w:eastAsia="宋体" w:hAnsi="宋体" w:cs="宋体" w:hint="eastAsia"/>
                <w:kern w:val="0"/>
                <w:sz w:val="21"/>
                <w:szCs w:val="21"/>
              </w:rPr>
            </w:pPr>
            <w:r>
              <w:rPr>
                <w:rFonts w:ascii="宋体" w:eastAsia="宋体" w:hAnsi="宋体" w:cs="宋体" w:hint="eastAsia"/>
                <w:kern w:val="0"/>
                <w:sz w:val="21"/>
                <w:szCs w:val="21"/>
              </w:rPr>
              <w:t>服务期限</w:t>
            </w:r>
          </w:p>
          <w:p>
            <w:pPr>
              <w:adjustRightInd w:val="0"/>
              <w:snapToGrid w:val="0"/>
              <w:spacing w:line="360" w:lineRule="auto"/>
              <w:jc w:val="left"/>
            </w:pPr>
            <w:r>
              <w:rPr>
                <w:rFonts w:hint="eastAsia"/>
                <w:lang w:val="en-US" w:eastAsia="zh-CN"/>
              </w:rPr>
              <w:t>一个完整自然年</w:t>
            </w:r>
            <w:r>
              <w:rPr>
                <w:rFonts w:ascii="宋体" w:eastAsia="宋体" w:hAnsi="宋体" w:cs="宋体" w:hint="eastAsia"/>
              </w:rPr>
              <w:t>，自2024年1月1日至202</w:t>
            </w:r>
            <w:r>
              <w:rPr>
                <w:rFonts w:ascii="宋体" w:eastAsia="宋体" w:hAnsi="宋体" w:cs="宋体" w:hint="eastAsia"/>
                <w:lang w:val="en-US" w:eastAsia="zh-CN"/>
              </w:rPr>
              <w:t>4</w:t>
            </w:r>
            <w:r>
              <w:rPr>
                <w:rFonts w:ascii="宋体" w:eastAsia="宋体" w:hAnsi="宋体" w:cs="宋体" w:hint="eastAsia"/>
              </w:rPr>
              <w:t>年12月31日。</w:t>
            </w:r>
            <w:r>
              <w:rPr>
                <w:rFonts w:ascii="宋体" w:eastAsia="宋体" w:hAnsi="宋体" w:cs="宋体" w:hint="eastAsia"/>
                <w:lang w:val="en-US" w:eastAsia="zh-CN"/>
              </w:rPr>
              <w:t>本项目为长期服务项目，合同期满可以续签，但合同履行期限最长不得</w:t>
            </w:r>
            <w:r>
              <w:rPr>
                <w:rFonts w:hint="eastAsia"/>
                <w:lang w:val="en-US" w:eastAsia="zh-CN"/>
              </w:rPr>
              <w:t>超过三十六个月。如采购方对履约情况不满意，则不再续签。</w:t>
            </w:r>
          </w:p>
        </w:tc>
        <w:tc>
          <w:tcPr>
            <w:tcW w:w="1335" w:type="dxa"/>
          </w:tcPr>
          <w:p>
            <w:pPr>
              <w:adjustRightInd w:val="0"/>
              <w:snapToGrid w:val="0"/>
              <w:spacing w:line="360" w:lineRule="auto"/>
              <w:rPr>
                <w:rFonts w:ascii="宋体" w:hAnsi="宋体"/>
                <w:kern w:val="0"/>
                <w:szCs w:val="21"/>
              </w:rPr>
            </w:pPr>
          </w:p>
        </w:tc>
      </w:tr>
      <w:tr>
        <w:tblPrEx>
          <w:tblW w:w="9180" w:type="dxa"/>
          <w:tblInd w:w="0" w:type="dxa"/>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hAnsi="宋体" w:hint="default"/>
                <w:kern w:val="0"/>
                <w:szCs w:val="21"/>
                <w:lang w:val="en-US" w:eastAsia="zh-CN"/>
              </w:rPr>
            </w:pPr>
            <w:r>
              <w:rPr>
                <w:rFonts w:ascii="宋体" w:hAnsi="宋体" w:hint="eastAsia"/>
                <w:kern w:val="0"/>
                <w:szCs w:val="21"/>
                <w:lang w:val="en-US" w:eastAsia="zh-CN"/>
              </w:rPr>
              <w:t>5</w:t>
            </w:r>
          </w:p>
        </w:tc>
        <w:tc>
          <w:tcPr>
            <w:tcW w:w="7140" w:type="dxa"/>
            <w:vAlign w:val="center"/>
          </w:tcPr>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付款方式</w:t>
            </w:r>
          </w:p>
          <w:p>
            <w:pPr>
              <w:adjustRightInd w:val="0"/>
              <w:snapToGrid w:val="0"/>
              <w:spacing w:line="360" w:lineRule="auto"/>
              <w:jc w:val="left"/>
              <w:rPr>
                <w:rFonts w:ascii="宋体" w:eastAsia="宋体" w:hAnsi="宋体" w:cs="宋体" w:hint="eastAsia"/>
                <w:sz w:val="21"/>
                <w:szCs w:val="21"/>
                <w:lang w:val="en-US" w:eastAsia="zh-CN"/>
              </w:rPr>
            </w:pPr>
            <w:r>
              <w:rPr>
                <w:rFonts w:ascii="宋体" w:eastAsia="宋体" w:hAnsi="宋体" w:cs="宋体" w:hint="eastAsia"/>
                <w:sz w:val="21"/>
                <w:szCs w:val="21"/>
              </w:rPr>
              <w:t>1.签订施工合同并经备案通过，同时中标人办理合同总价的</w:t>
            </w:r>
            <w:r>
              <w:rPr>
                <w:rFonts w:ascii="宋体" w:eastAsia="宋体" w:hAnsi="宋体" w:cs="宋体" w:hint="eastAsia"/>
                <w:sz w:val="21"/>
                <w:szCs w:val="21"/>
                <w:lang w:val="en-US" w:eastAsia="zh-CN"/>
              </w:rPr>
              <w:t>1</w:t>
            </w:r>
            <w:r>
              <w:rPr>
                <w:rFonts w:ascii="宋体" w:eastAsia="宋体" w:hAnsi="宋体" w:cs="宋体" w:hint="eastAsia"/>
                <w:sz w:val="21"/>
                <w:szCs w:val="21"/>
              </w:rPr>
              <w:t>0%的履约保函后，采购人支付合同总价的</w:t>
            </w:r>
            <w:r>
              <w:rPr>
                <w:rFonts w:ascii="宋体" w:eastAsia="宋体" w:hAnsi="宋体" w:cs="宋体" w:hint="eastAsia"/>
                <w:sz w:val="21"/>
                <w:szCs w:val="21"/>
                <w:lang w:val="en-US" w:eastAsia="zh-CN"/>
              </w:rPr>
              <w:t>25</w:t>
            </w:r>
            <w:r>
              <w:rPr>
                <w:rFonts w:ascii="宋体" w:eastAsia="宋体" w:hAnsi="宋体" w:cs="宋体" w:hint="eastAsia"/>
                <w:sz w:val="21"/>
                <w:szCs w:val="21"/>
              </w:rPr>
              <w:t>%作为预付款。</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2.</w:t>
            </w:r>
            <w:r>
              <w:rPr>
                <w:rFonts w:ascii="宋体" w:eastAsia="宋体" w:hAnsi="宋体" w:cs="宋体" w:hint="eastAsia"/>
                <w:sz w:val="21"/>
                <w:szCs w:val="21"/>
                <w:lang w:val="en-US" w:eastAsia="zh-CN"/>
              </w:rPr>
              <w:t>固定</w:t>
            </w:r>
            <w:r>
              <w:rPr>
                <w:rFonts w:ascii="宋体" w:eastAsia="宋体" w:hAnsi="宋体" w:cs="宋体" w:hint="eastAsia"/>
                <w:sz w:val="21"/>
                <w:szCs w:val="21"/>
              </w:rPr>
              <w:t>费用每月按照中标人投标报价除以12个月支付；</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3.维护费用每月按申报工程量审核结算一次，按结算金额在当月支付；</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4.维护费用结算方式：</w:t>
            </w:r>
          </w:p>
          <w:p>
            <w:pPr>
              <w:adjustRightInd w:val="0"/>
              <w:snapToGrid w:val="0"/>
              <w:spacing w:line="360" w:lineRule="auto"/>
              <w:jc w:val="left"/>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（1）更换工程量为当月实际发生工程量；</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w:t>
            </w:r>
            <w:r>
              <w:rPr>
                <w:rFonts w:ascii="宋体" w:eastAsia="宋体" w:hAnsi="宋体" w:cs="宋体" w:hint="eastAsia"/>
                <w:sz w:val="21"/>
                <w:szCs w:val="21"/>
                <w:lang w:val="en-US" w:eastAsia="zh-CN"/>
              </w:rPr>
              <w:t>2</w:t>
            </w:r>
            <w:r>
              <w:rPr>
                <w:rFonts w:ascii="宋体" w:eastAsia="宋体" w:hAnsi="宋体" w:cs="宋体" w:hint="eastAsia"/>
                <w:sz w:val="21"/>
                <w:szCs w:val="21"/>
              </w:rPr>
              <w:t>）</w:t>
            </w:r>
            <w:r>
              <w:rPr>
                <w:rFonts w:ascii="宋体" w:eastAsia="宋体" w:hAnsi="宋体" w:cs="宋体" w:hint="eastAsia"/>
                <w:sz w:val="21"/>
                <w:szCs w:val="21"/>
                <w:lang w:val="en-US" w:eastAsia="zh-CN"/>
              </w:rPr>
              <w:t>材料单价</w:t>
            </w:r>
            <w:r>
              <w:rPr>
                <w:rFonts w:ascii="宋体" w:eastAsia="宋体" w:hAnsi="宋体" w:cs="宋体" w:hint="eastAsia"/>
                <w:sz w:val="21"/>
                <w:szCs w:val="21"/>
              </w:rPr>
              <w:t>按项目实施当月《深圳建设工程价格信息》信息价计算出基准价（若当月《深圳建设工程价格信息》无相应材料设备、人工价格标准的，则通过市场询价（第三方造价咨询公司询价）或相关案例确定）。然后用</w:t>
            </w:r>
            <w:r>
              <w:rPr>
                <w:rFonts w:ascii="宋体" w:eastAsia="宋体" w:hAnsi="宋体" w:cs="宋体" w:hint="eastAsia"/>
                <w:sz w:val="21"/>
                <w:szCs w:val="21"/>
                <w:lang w:eastAsia="zh-CN"/>
              </w:rPr>
              <w:t>材料单价</w:t>
            </w:r>
            <w:r>
              <w:rPr>
                <w:rFonts w:ascii="宋体" w:eastAsia="宋体" w:hAnsi="宋体" w:cs="宋体" w:hint="eastAsia"/>
                <w:sz w:val="21"/>
                <w:szCs w:val="21"/>
              </w:rPr>
              <w:t>×（1-维护费用下浮率）计算出该项</w:t>
            </w:r>
            <w:r>
              <w:rPr>
                <w:rFonts w:ascii="宋体" w:eastAsia="宋体" w:hAnsi="宋体" w:cs="宋体" w:hint="eastAsia"/>
                <w:sz w:val="21"/>
                <w:szCs w:val="21"/>
                <w:lang w:val="en-US" w:eastAsia="zh-CN"/>
              </w:rPr>
              <w:t>材料</w:t>
            </w:r>
            <w:r>
              <w:rPr>
                <w:rFonts w:ascii="宋体" w:eastAsia="宋体" w:hAnsi="宋体" w:cs="宋体" w:hint="eastAsia"/>
                <w:sz w:val="21"/>
                <w:szCs w:val="21"/>
              </w:rPr>
              <w:t>价，最终费用以采购人聘请的第三方造价咨询公司审计价为准；</w:t>
            </w:r>
          </w:p>
          <w:p>
            <w:pPr>
              <w:adjustRightInd w:val="0"/>
              <w:snapToGrid w:val="0"/>
              <w:spacing w:line="360" w:lineRule="auto"/>
              <w:jc w:val="left"/>
              <w:rPr>
                <w:rFonts w:ascii="宋体" w:eastAsia="宋体" w:hAnsi="宋体" w:cs="宋体" w:hint="eastAsia"/>
                <w:sz w:val="21"/>
                <w:szCs w:val="21"/>
                <w:lang w:val="en-US" w:eastAsia="zh-CN"/>
              </w:rPr>
            </w:pPr>
            <w:r>
              <w:rPr>
                <w:rFonts w:ascii="宋体" w:eastAsia="宋体" w:hAnsi="宋体" w:cs="宋体" w:hint="eastAsia"/>
                <w:sz w:val="21"/>
                <w:szCs w:val="21"/>
              </w:rPr>
              <w:t>（</w:t>
            </w:r>
            <w:r>
              <w:rPr>
                <w:rFonts w:ascii="宋体" w:eastAsia="宋体" w:hAnsi="宋体" w:cs="宋体" w:hint="eastAsia"/>
                <w:sz w:val="21"/>
                <w:szCs w:val="21"/>
                <w:lang w:val="en-US" w:eastAsia="zh-CN"/>
              </w:rPr>
              <w:t>3</w:t>
            </w:r>
            <w:r>
              <w:rPr>
                <w:rFonts w:ascii="宋体" w:eastAsia="宋体" w:hAnsi="宋体" w:cs="宋体" w:hint="eastAsia"/>
                <w:sz w:val="21"/>
                <w:szCs w:val="21"/>
              </w:rPr>
              <w:t>）</w:t>
            </w:r>
            <w:r>
              <w:rPr>
                <w:rFonts w:ascii="宋体" w:eastAsia="宋体" w:hAnsi="宋体" w:cs="宋体" w:hint="eastAsia"/>
                <w:sz w:val="21"/>
                <w:szCs w:val="21"/>
                <w:lang w:eastAsia="zh-CN"/>
              </w:rPr>
              <w:t>然后</w:t>
            </w:r>
            <w:r>
              <w:rPr>
                <w:rFonts w:ascii="宋体" w:eastAsia="宋体" w:hAnsi="宋体" w:cs="宋体" w:hint="eastAsia"/>
                <w:sz w:val="21"/>
                <w:szCs w:val="21"/>
              </w:rPr>
              <w:t>根据工程量*</w:t>
            </w:r>
            <w:r>
              <w:rPr>
                <w:rFonts w:ascii="宋体" w:eastAsia="宋体" w:hAnsi="宋体" w:cs="宋体" w:hint="eastAsia"/>
                <w:sz w:val="21"/>
                <w:szCs w:val="21"/>
                <w:lang w:eastAsia="zh-CN"/>
              </w:rPr>
              <w:t>材料</w:t>
            </w:r>
            <w:r>
              <w:rPr>
                <w:rFonts w:ascii="宋体" w:eastAsia="宋体" w:hAnsi="宋体" w:cs="宋体" w:hint="eastAsia"/>
                <w:sz w:val="21"/>
                <w:szCs w:val="21"/>
              </w:rPr>
              <w:t>价计算维护费用，最终费用以采购方聘请的第三方造价咨询公司审计价为准</w:t>
            </w:r>
            <w:r>
              <w:rPr>
                <w:rFonts w:ascii="宋体" w:eastAsia="宋体" w:hAnsi="宋体" w:cs="宋体" w:hint="eastAsia"/>
                <w:sz w:val="21"/>
                <w:szCs w:val="21"/>
                <w:lang w:eastAsia="zh-CN"/>
              </w:rPr>
              <w:t>。</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5.维护费用下浮率=（</w:t>
            </w:r>
            <w:r>
              <w:rPr>
                <w:rFonts w:ascii="宋体" w:eastAsia="宋体" w:hAnsi="宋体" w:cs="宋体" w:hint="eastAsia"/>
                <w:sz w:val="21"/>
                <w:szCs w:val="21"/>
                <w:lang w:val="en-US" w:eastAsia="zh-CN"/>
              </w:rPr>
              <w:t>550</w:t>
            </w:r>
            <w:r>
              <w:rPr>
                <w:rFonts w:ascii="宋体" w:eastAsia="宋体" w:hAnsi="宋体" w:cs="宋体" w:hint="eastAsia"/>
                <w:sz w:val="21"/>
                <w:szCs w:val="21"/>
              </w:rPr>
              <w:t>0000-中标人维护费用报价）/</w:t>
            </w:r>
            <w:r>
              <w:rPr>
                <w:rFonts w:ascii="宋体" w:eastAsia="宋体" w:hAnsi="宋体" w:cs="宋体" w:hint="eastAsia"/>
                <w:sz w:val="21"/>
                <w:szCs w:val="21"/>
                <w:lang w:val="en-US" w:eastAsia="zh-CN"/>
              </w:rPr>
              <w:t>55</w:t>
            </w:r>
            <w:r>
              <w:rPr>
                <w:rFonts w:ascii="宋体" w:eastAsia="宋体" w:hAnsi="宋体" w:cs="宋体" w:hint="eastAsia"/>
                <w:sz w:val="21"/>
                <w:szCs w:val="21"/>
              </w:rPr>
              <w:t>00000*100%。</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6.每</w:t>
            </w:r>
            <w:r>
              <w:rPr>
                <w:rFonts w:ascii="宋体" w:eastAsia="宋体" w:hAnsi="宋体" w:cs="宋体" w:hint="eastAsia"/>
                <w:sz w:val="21"/>
                <w:szCs w:val="21"/>
                <w:lang w:val="en-US" w:eastAsia="zh-CN"/>
              </w:rPr>
              <w:t>月</w:t>
            </w:r>
            <w:r>
              <w:rPr>
                <w:rFonts w:ascii="宋体" w:eastAsia="宋体" w:hAnsi="宋体" w:cs="宋体" w:hint="eastAsia"/>
                <w:sz w:val="21"/>
                <w:szCs w:val="21"/>
              </w:rPr>
              <w:t>维护费用为</w:t>
            </w:r>
            <w:r>
              <w:rPr>
                <w:rFonts w:ascii="宋体" w:eastAsia="宋体" w:hAnsi="宋体" w:cs="宋体" w:hint="eastAsia"/>
                <w:sz w:val="21"/>
                <w:szCs w:val="21"/>
                <w:lang w:val="en-US" w:eastAsia="zh-CN"/>
              </w:rPr>
              <w:t>固定费用与维护费用</w:t>
            </w:r>
            <w:r>
              <w:rPr>
                <w:rFonts w:ascii="宋体" w:eastAsia="宋体" w:hAnsi="宋体" w:cs="宋体" w:hint="eastAsia"/>
                <w:sz w:val="21"/>
                <w:szCs w:val="21"/>
              </w:rPr>
              <w:t>之和减去</w:t>
            </w:r>
            <w:r>
              <w:rPr>
                <w:rFonts w:ascii="宋体" w:eastAsia="宋体" w:hAnsi="宋体" w:cs="宋体" w:hint="eastAsia"/>
                <w:sz w:val="21"/>
                <w:szCs w:val="21"/>
                <w:lang w:val="en-US" w:eastAsia="zh-CN"/>
              </w:rPr>
              <w:t>月</w:t>
            </w:r>
            <w:r>
              <w:rPr>
                <w:rFonts w:ascii="宋体" w:eastAsia="宋体" w:hAnsi="宋体" w:cs="宋体" w:hint="eastAsia"/>
                <w:sz w:val="21"/>
                <w:szCs w:val="21"/>
              </w:rPr>
              <w:t>维护考核扣除部分。</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7.若中标人每次上报的维护材料送审价经采购方聘请的造价咨询公司审核后核减率≥10%，则采购方将按10000元/次进行处罚，处罚金额从下月维护费用中扣除。</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rPr>
              <w:t>8.</w:t>
            </w:r>
            <w:r>
              <w:rPr>
                <w:rFonts w:ascii="宋体" w:eastAsia="宋体" w:hAnsi="宋体" w:cs="宋体" w:hint="eastAsia"/>
                <w:sz w:val="21"/>
                <w:szCs w:val="21"/>
                <w:lang w:val="en-US" w:eastAsia="zh-CN"/>
              </w:rPr>
              <w:t>维护费用每半年报送</w:t>
            </w:r>
            <w:r>
              <w:rPr>
                <w:rFonts w:ascii="宋体" w:eastAsia="宋体" w:hAnsi="宋体" w:cs="宋体" w:hint="eastAsia"/>
                <w:sz w:val="21"/>
                <w:szCs w:val="21"/>
              </w:rPr>
              <w:t>采购方上级主管部门深圳市城市管理和综合执法局</w:t>
            </w:r>
            <w:r>
              <w:rPr>
                <w:rFonts w:ascii="宋体" w:eastAsia="宋体" w:hAnsi="宋体" w:cs="宋体" w:hint="eastAsia"/>
                <w:sz w:val="21"/>
                <w:szCs w:val="21"/>
                <w:lang w:val="en-US" w:eastAsia="zh-CN"/>
              </w:rPr>
              <w:t>进行</w:t>
            </w:r>
            <w:r>
              <w:rPr>
                <w:rFonts w:ascii="宋体" w:eastAsia="宋体" w:hAnsi="宋体" w:cs="宋体" w:hint="eastAsia"/>
                <w:sz w:val="21"/>
                <w:szCs w:val="21"/>
              </w:rPr>
              <w:t>审计，</w:t>
            </w:r>
            <w:r>
              <w:rPr>
                <w:rFonts w:ascii="宋体" w:eastAsia="宋体" w:hAnsi="宋体" w:cs="宋体" w:hint="eastAsia"/>
                <w:sz w:val="21"/>
                <w:szCs w:val="21"/>
                <w:lang w:val="en-US" w:eastAsia="zh-CN"/>
              </w:rPr>
              <w:t>如有增减的</w:t>
            </w:r>
            <w:r>
              <w:rPr>
                <w:rFonts w:ascii="宋体" w:eastAsia="宋体" w:hAnsi="宋体" w:cs="宋体" w:hint="eastAsia"/>
                <w:sz w:val="21"/>
                <w:szCs w:val="21"/>
              </w:rPr>
              <w:t>以</w:t>
            </w:r>
            <w:r>
              <w:rPr>
                <w:rFonts w:ascii="宋体" w:eastAsia="宋体" w:hAnsi="宋体" w:cs="宋体" w:hint="eastAsia"/>
                <w:sz w:val="21"/>
                <w:szCs w:val="21"/>
                <w:lang w:val="en-US" w:eastAsia="zh-CN"/>
              </w:rPr>
              <w:t>上级主管部门</w:t>
            </w:r>
            <w:r>
              <w:rPr>
                <w:rFonts w:ascii="宋体" w:eastAsia="宋体" w:hAnsi="宋体" w:cs="宋体" w:hint="eastAsia"/>
                <w:sz w:val="21"/>
                <w:szCs w:val="21"/>
              </w:rPr>
              <w:t>审计价为准。</w:t>
            </w:r>
          </w:p>
          <w:p>
            <w:pPr>
              <w:adjustRightInd w:val="0"/>
              <w:snapToGrid w:val="0"/>
              <w:spacing w:line="360" w:lineRule="auto"/>
              <w:jc w:val="left"/>
              <w:rPr>
                <w:rFonts w:ascii="宋体" w:eastAsia="宋体" w:hAnsi="宋体" w:cs="宋体" w:hint="eastAsia"/>
                <w:sz w:val="21"/>
                <w:szCs w:val="21"/>
              </w:rPr>
            </w:pPr>
            <w:r>
              <w:rPr>
                <w:rFonts w:ascii="宋体" w:eastAsia="宋体" w:hAnsi="宋体" w:cs="宋体" w:hint="eastAsia"/>
                <w:sz w:val="21"/>
                <w:szCs w:val="21"/>
                <w:lang w:val="en-US" w:eastAsia="zh-CN"/>
              </w:rPr>
              <w:t>9</w:t>
            </w:r>
            <w:r>
              <w:rPr>
                <w:rFonts w:ascii="宋体" w:eastAsia="宋体" w:hAnsi="宋体" w:cs="宋体" w:hint="eastAsia"/>
                <w:sz w:val="21"/>
                <w:szCs w:val="21"/>
              </w:rPr>
              <w:t>.因维护费由政府拨款，如因政策的影响，拨款未能及时到位，中标人不得据此不履行合同规定的义务，否则采购方按规定扣罚。</w:t>
            </w:r>
          </w:p>
          <w:p>
            <w:pPr>
              <w:adjustRightInd w:val="0"/>
              <w:snapToGrid w:val="0"/>
              <w:spacing w:line="360" w:lineRule="auto"/>
              <w:jc w:val="left"/>
              <w:rPr>
                <w:rFonts w:ascii="宋体" w:eastAsia="宋体" w:hAnsi="宋体" w:cs="宋体" w:hint="eastAsia"/>
                <w:sz w:val="21"/>
                <w:szCs w:val="21"/>
                <w:lang w:val="en-US" w:eastAsia="zh-CN"/>
              </w:rPr>
            </w:pPr>
            <w:r>
              <w:rPr>
                <w:rFonts w:ascii="宋体" w:eastAsia="宋体" w:hAnsi="宋体" w:cs="宋体" w:hint="eastAsia"/>
                <w:sz w:val="21"/>
                <w:szCs w:val="21"/>
                <w:lang w:val="en-US" w:eastAsia="zh-CN"/>
              </w:rPr>
              <w:t>10</w:t>
            </w:r>
            <w:r>
              <w:rPr>
                <w:rFonts w:ascii="宋体" w:eastAsia="宋体" w:hAnsi="宋体" w:cs="宋体" w:hint="eastAsia"/>
                <w:sz w:val="21"/>
                <w:szCs w:val="21"/>
              </w:rPr>
              <w:t>.</w:t>
            </w:r>
            <w:r>
              <w:rPr>
                <w:rFonts w:ascii="宋体" w:eastAsia="宋体" w:hAnsi="宋体" w:cs="宋体" w:hint="eastAsia"/>
                <w:sz w:val="21"/>
                <w:szCs w:val="21"/>
                <w:lang w:val="en-US" w:eastAsia="zh-CN"/>
              </w:rPr>
              <w:t>履约保证金在项目服务期结束</w:t>
            </w:r>
            <w:r>
              <w:rPr>
                <w:rFonts w:ascii="宋体" w:eastAsia="宋体" w:hAnsi="宋体" w:cs="宋体" w:hint="eastAsia"/>
                <w:sz w:val="21"/>
                <w:szCs w:val="21"/>
              </w:rPr>
              <w:t>、</w:t>
            </w:r>
            <w:r>
              <w:rPr>
                <w:rFonts w:ascii="宋体" w:eastAsia="宋体" w:hAnsi="宋体" w:cs="宋体" w:hint="eastAsia"/>
                <w:sz w:val="21"/>
                <w:szCs w:val="21"/>
                <w:lang w:val="en-US" w:eastAsia="zh-CN"/>
              </w:rPr>
              <w:t>中标人将高压设施完好移交给采购人并提交书面退还履约担保申请后，30日内按原方式退还，不计利息</w:t>
            </w:r>
            <w:r>
              <w:rPr>
                <w:rFonts w:ascii="宋体" w:eastAsia="宋体" w:hAnsi="宋体" w:cs="宋体" w:hint="eastAsia"/>
                <w:sz w:val="21"/>
                <w:szCs w:val="21"/>
              </w:rPr>
              <w:t>。</w:t>
            </w:r>
            <w:r>
              <w:rPr>
                <w:rFonts w:ascii="宋体" w:eastAsia="宋体" w:hAnsi="宋体" w:cs="宋体" w:hint="eastAsia"/>
                <w:sz w:val="21"/>
                <w:szCs w:val="21"/>
                <w:lang w:val="en-US" w:eastAsia="zh-CN"/>
              </w:rPr>
              <w:t>因乙方原因而未能达到本项目验收标准或验收不通过的，履约保证金不予退还。</w:t>
            </w:r>
          </w:p>
          <w:p>
            <w:pPr>
              <w:pStyle w:val="BodyText"/>
              <w:ind w:firstLine="0" w:firstLineChars="0"/>
              <w:rPr>
                <w:rFonts w:ascii="宋体" w:eastAsia="宋体" w:hAnsi="宋体" w:cs="宋体" w:hint="eastAsia"/>
                <w:kern w:val="0"/>
                <w:sz w:val="21"/>
                <w:szCs w:val="21"/>
              </w:rPr>
            </w:pPr>
            <w:r>
              <w:rPr>
                <w:rFonts w:ascii="宋体" w:eastAsia="宋体" w:hAnsi="宋体" w:cs="宋体" w:hint="eastAsia"/>
                <w:b w:val="0"/>
                <w:bCs w:val="0"/>
                <w:color w:val="auto"/>
                <w:sz w:val="21"/>
                <w:szCs w:val="21"/>
                <w:highlight w:val="none"/>
                <w:u w:val="none"/>
                <w:lang w:val="en-US" w:eastAsia="zh-CN"/>
              </w:rPr>
              <w:t>11</w:t>
            </w:r>
            <w:r>
              <w:rPr>
                <w:rFonts w:ascii="宋体" w:eastAsia="宋体" w:hAnsi="宋体" w:cs="宋体" w:hint="eastAsia"/>
                <w:b w:val="0"/>
                <w:bCs w:val="0"/>
                <w:color w:val="auto"/>
                <w:sz w:val="21"/>
                <w:szCs w:val="21"/>
                <w:highlight w:val="none"/>
                <w:u w:val="none"/>
              </w:rPr>
              <w:t>.项目实施过程中涉及道路挖掘与恢复、绿化开挖与恢复、涉燃气施工、涉地铁施工、供用电手续办理等情况，相关主管部门明确要求由指定单位进行恢复或采取特定措施的，经招标人同意后</w:t>
            </w:r>
            <w:r>
              <w:rPr>
                <w:rFonts w:ascii="宋体" w:eastAsia="宋体" w:hAnsi="宋体" w:cs="宋体" w:hint="eastAsia"/>
                <w:b w:val="0"/>
                <w:bCs w:val="0"/>
                <w:color w:val="auto"/>
                <w:sz w:val="21"/>
                <w:szCs w:val="21"/>
                <w:highlight w:val="none"/>
                <w:u w:val="none"/>
                <w:lang w:eastAsia="zh-CN"/>
              </w:rPr>
              <w:t>由中标人</w:t>
            </w:r>
            <w:r>
              <w:rPr>
                <w:rFonts w:ascii="宋体" w:eastAsia="宋体" w:hAnsi="宋体" w:cs="宋体" w:hint="eastAsia"/>
                <w:b w:val="0"/>
                <w:bCs w:val="0"/>
                <w:color w:val="auto"/>
                <w:sz w:val="21"/>
                <w:szCs w:val="21"/>
                <w:highlight w:val="none"/>
                <w:u w:val="none"/>
              </w:rPr>
              <w:t>予以实施，所产生费用可根据相关部门指导价予以结算，中标人需提供完整资料用于结算。最终结算价以采购人上级主管部门审计价为准。</w:t>
            </w:r>
          </w:p>
        </w:tc>
        <w:tc>
          <w:tcPr>
            <w:tcW w:w="1335" w:type="dxa"/>
          </w:tcPr>
          <w:p>
            <w:pPr>
              <w:adjustRightInd w:val="0"/>
              <w:snapToGrid w:val="0"/>
              <w:spacing w:line="360" w:lineRule="auto"/>
              <w:rPr>
                <w:rFonts w:ascii="宋体" w:hAnsi="宋体"/>
                <w:kern w:val="0"/>
                <w:szCs w:val="21"/>
              </w:rPr>
            </w:pPr>
          </w:p>
        </w:tc>
      </w:tr>
      <w:tr>
        <w:tblPrEx>
          <w:tblW w:w="9180" w:type="dxa"/>
          <w:tblInd w:w="0" w:type="dxa"/>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hAnsi="宋体" w:hint="default"/>
                <w:kern w:val="0"/>
                <w:szCs w:val="21"/>
                <w:lang w:val="en-US" w:eastAsia="zh-CN"/>
              </w:rPr>
            </w:pPr>
            <w:r>
              <w:rPr>
                <w:rFonts w:ascii="宋体" w:hAnsi="宋体" w:hint="eastAsia"/>
                <w:kern w:val="0"/>
                <w:szCs w:val="21"/>
                <w:lang w:val="en-US" w:eastAsia="zh-CN"/>
              </w:rPr>
              <w:t>6</w:t>
            </w:r>
          </w:p>
        </w:tc>
        <w:tc>
          <w:tcPr>
            <w:tcW w:w="7140" w:type="dxa"/>
            <w:vAlign w:val="center"/>
          </w:tcPr>
          <w:p>
            <w:pPr>
              <w:adjustRightInd w:val="0"/>
              <w:snapToGrid w:val="0"/>
              <w:spacing w:line="360" w:lineRule="auto"/>
              <w:jc w:val="left"/>
              <w:rPr>
                <w:rFonts w:ascii="宋体" w:eastAsia="宋体" w:hAnsi="宋体" w:cs="宋体" w:hint="eastAsia"/>
                <w:kern w:val="0"/>
                <w:sz w:val="21"/>
                <w:szCs w:val="21"/>
                <w:lang w:val="en-US" w:eastAsia="zh-CN"/>
              </w:rPr>
            </w:pPr>
            <w:r>
              <w:rPr>
                <w:rFonts w:ascii="宋体" w:eastAsia="宋体" w:hAnsi="宋体" w:cs="宋体" w:hint="eastAsia"/>
                <w:kern w:val="0"/>
                <w:sz w:val="21"/>
                <w:szCs w:val="21"/>
                <w:lang w:val="en-US" w:eastAsia="zh-CN"/>
              </w:rPr>
              <w:t>本项目为包干制，报价中需包括服务成本、路灯箱变及线路维护工具及设备和设备使用费、法定税费和企业的利润等一切为完成本项目所应尽的费用。投标人在投标文件“详细分项报价”中提供的分项报价应至少包括以下内容：</w:t>
            </w:r>
          </w:p>
          <w:p>
            <w:pPr>
              <w:adjustRightInd w:val="0"/>
              <w:snapToGrid w:val="0"/>
              <w:spacing w:line="360" w:lineRule="auto"/>
              <w:jc w:val="left"/>
              <w:rPr>
                <w:rFonts w:ascii="宋体" w:eastAsia="宋体" w:hAnsi="宋体" w:cs="宋体" w:hint="eastAsia"/>
                <w:kern w:val="0"/>
                <w:sz w:val="21"/>
                <w:szCs w:val="21"/>
                <w:lang w:val="en-US" w:eastAsia="zh-CN"/>
              </w:rPr>
            </w:pPr>
            <w:r>
              <w:rPr>
                <w:rFonts w:ascii="宋体" w:eastAsia="宋体" w:hAnsi="宋体" w:cs="宋体" w:hint="eastAsia"/>
                <w:kern w:val="0"/>
                <w:sz w:val="21"/>
                <w:szCs w:val="21"/>
                <w:lang w:val="en-US" w:eastAsia="zh-CN"/>
              </w:rPr>
              <w:t>（1）固定费用（含员工工资、加班费、奖金、福利、服装、社保、保险等费用和行政办公费、房租费、通讯费、人员装备费、车辆维护费用等）；</w:t>
            </w:r>
          </w:p>
          <w:p>
            <w:pPr>
              <w:adjustRightInd w:val="0"/>
              <w:snapToGrid w:val="0"/>
              <w:spacing w:line="360" w:lineRule="auto"/>
              <w:jc w:val="left"/>
              <w:rPr>
                <w:rFonts w:ascii="宋体" w:eastAsia="宋体" w:hAnsi="宋体" w:cs="宋体" w:hint="eastAsia"/>
                <w:kern w:val="0"/>
                <w:sz w:val="21"/>
                <w:szCs w:val="21"/>
                <w:lang w:val="en-US" w:eastAsia="zh-CN"/>
              </w:rPr>
            </w:pPr>
            <w:r>
              <w:rPr>
                <w:rFonts w:ascii="宋体" w:eastAsia="宋体" w:hAnsi="宋体" w:cs="宋体" w:hint="eastAsia"/>
                <w:kern w:val="0"/>
                <w:sz w:val="21"/>
                <w:szCs w:val="21"/>
                <w:lang w:val="en-US" w:eastAsia="zh-CN"/>
              </w:rPr>
              <w:t>（2）维护费用（该部分为综合单价（含材料费、人工费、车辆台班费、管理费、利润）、规费、措施费、税费及其他等等）。</w:t>
            </w:r>
          </w:p>
        </w:tc>
        <w:tc>
          <w:tcPr>
            <w:tcW w:w="1335" w:type="dxa"/>
          </w:tcPr>
          <w:p>
            <w:pPr>
              <w:adjustRightInd w:val="0"/>
              <w:snapToGrid w:val="0"/>
              <w:spacing w:line="360" w:lineRule="auto"/>
              <w:rPr>
                <w:rFonts w:ascii="宋体" w:hAnsi="宋体"/>
                <w:kern w:val="0"/>
                <w:szCs w:val="21"/>
              </w:rPr>
            </w:pPr>
          </w:p>
        </w:tc>
      </w:tr>
      <w:tr>
        <w:tblPrEx>
          <w:tblW w:w="9180" w:type="dxa"/>
          <w:tblInd w:w="0" w:type="dxa"/>
          <w:tblLayout w:type="fixed"/>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hAnsi="宋体" w:hint="default"/>
                <w:kern w:val="0"/>
                <w:szCs w:val="21"/>
                <w:lang w:val="en-US" w:eastAsia="zh-CN"/>
              </w:rPr>
            </w:pPr>
            <w:r>
              <w:rPr>
                <w:rFonts w:ascii="宋体" w:hAnsi="宋体" w:hint="eastAsia"/>
                <w:kern w:val="0"/>
                <w:szCs w:val="21"/>
                <w:lang w:val="en-US" w:eastAsia="zh-CN"/>
              </w:rPr>
              <w:t>7</w:t>
            </w:r>
          </w:p>
        </w:tc>
        <w:tc>
          <w:tcPr>
            <w:tcW w:w="7140" w:type="dxa"/>
            <w:vAlign w:val="center"/>
          </w:tcPr>
          <w:p>
            <w:pPr>
              <w:adjustRightInd w:val="0"/>
              <w:snapToGrid w:val="0"/>
              <w:spacing w:line="360" w:lineRule="auto"/>
              <w:jc w:val="left"/>
              <w:rPr>
                <w:rFonts w:ascii="宋体" w:eastAsia="宋体" w:hAnsi="宋体" w:cs="宋体" w:hint="eastAsia"/>
                <w:kern w:val="0"/>
                <w:sz w:val="21"/>
                <w:szCs w:val="21"/>
                <w:lang w:val="en-US" w:eastAsia="zh-CN"/>
              </w:rPr>
            </w:pPr>
            <w:r>
              <w:rPr>
                <w:rFonts w:ascii="宋体" w:eastAsia="宋体" w:hAnsi="宋体" w:cs="宋体" w:hint="eastAsia"/>
                <w:kern w:val="0"/>
                <w:sz w:val="21"/>
                <w:szCs w:val="21"/>
                <w:lang w:val="en-US" w:eastAsia="zh-CN"/>
              </w:rPr>
              <w:t>任意一项费用的投标报价超过其最高限价的，将导致投标无效。</w:t>
            </w:r>
          </w:p>
        </w:tc>
        <w:tc>
          <w:tcPr>
            <w:tcW w:w="1335" w:type="dxa"/>
          </w:tcPr>
          <w:p>
            <w:pPr>
              <w:adjustRightInd w:val="0"/>
              <w:snapToGrid w:val="0"/>
              <w:spacing w:line="360" w:lineRule="auto"/>
              <w:rPr>
                <w:rFonts w:ascii="宋体" w:hAnsi="宋体"/>
                <w:kern w:val="0"/>
                <w:szCs w:val="21"/>
              </w:rPr>
            </w:pPr>
          </w:p>
        </w:tc>
      </w:tr>
    </w:tbl>
    <w:p>
      <w:pPr>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注：1.“</w:t>
      </w:r>
      <w:r>
        <w:rPr>
          <w:rFonts w:ascii="宋体" w:hAnsi="宋体" w:hint="eastAsia"/>
          <w:kern w:val="0"/>
          <w:szCs w:val="21"/>
        </w:rPr>
        <w:t>采购人要求内容</w:t>
      </w:r>
      <w:r>
        <w:rPr>
          <w:rFonts w:asciiTheme="minorEastAsia" w:eastAsiaTheme="minorEastAsia" w:hAnsiTheme="minorEastAsia" w:hint="eastAsia"/>
          <w:bCs/>
          <w:kern w:val="0"/>
          <w:szCs w:val="21"/>
        </w:rPr>
        <w:t>”为</w:t>
      </w:r>
      <w:r>
        <w:rPr>
          <w:rFonts w:asciiTheme="minorEastAsia" w:eastAsiaTheme="minorEastAsia" w:hAnsiTheme="minorEastAsia" w:hint="eastAsia"/>
          <w:b/>
          <w:bCs/>
          <w:kern w:val="0"/>
          <w:szCs w:val="21"/>
          <w:highlight w:val="yellow"/>
        </w:rPr>
        <w:t>“第一册  专用条款/第二章  招标项目需求”</w:t>
      </w:r>
      <w:r>
        <w:rPr>
          <w:rFonts w:asciiTheme="minorEastAsia" w:eastAsiaTheme="minorEastAsia" w:hAnsiTheme="minorEastAsia" w:hint="eastAsia"/>
          <w:bCs/>
          <w:kern w:val="0"/>
          <w:szCs w:val="21"/>
        </w:rPr>
        <w:t>中的不可负偏离条款，即“实质性条款”。</w:t>
      </w:r>
    </w:p>
    <w:p>
      <w:pPr>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2.“投标人响应情况”一栏应如实填写“响应”或“不响应”。</w:t>
      </w:r>
    </w:p>
    <w:p>
      <w:pPr>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3.“实质性条款响应情况表”与投标文件其它内容冲突的，以“实质性条款响应情况表”为准。</w:t>
      </w:r>
    </w:p>
    <w:p>
      <w:pPr>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4.“</w:t>
      </w:r>
      <w:r>
        <w:rPr>
          <w:rFonts w:ascii="宋体" w:hAnsi="宋体" w:hint="eastAsia"/>
          <w:kern w:val="0"/>
          <w:szCs w:val="21"/>
        </w:rPr>
        <w:t>采购人要求内容</w:t>
      </w:r>
      <w:r>
        <w:rPr>
          <w:rFonts w:asciiTheme="minorEastAsia" w:eastAsiaTheme="minorEastAsia" w:hAnsiTheme="minorEastAsia" w:hint="eastAsia"/>
          <w:bCs/>
          <w:kern w:val="0"/>
          <w:szCs w:val="21"/>
        </w:rPr>
        <w:t>”中涉及提供证明材料的，应附在本表后，未提供证明材料或证明材料与响应情况不相符的，按负偏离处理。</w:t>
      </w:r>
    </w:p>
    <w:p>
      <w:pPr>
        <w:spacing w:before="260" w:after="260"/>
        <w:jc w:val="center"/>
        <w:outlineLvl w:val="2"/>
        <w:rPr>
          <w:rFonts w:ascii="黑体" w:eastAsia="黑体" w:hAnsi="宋体"/>
          <w:bCs/>
          <w:kern w:val="0"/>
          <w:sz w:val="24"/>
          <w:szCs w:val="24"/>
        </w:rPr>
      </w:pPr>
      <w:r>
        <w:rPr>
          <w:rFonts w:ascii="黑体" w:eastAsia="黑体" w:hAnsi="宋体" w:hint="eastAsia"/>
          <w:bCs/>
          <w:kern w:val="0"/>
          <w:sz w:val="24"/>
          <w:szCs w:val="24"/>
        </w:rPr>
        <w:t>九、详细分项报价清单</w:t>
      </w:r>
    </w:p>
    <w:tbl>
      <w:tblPr>
        <w:tblStyle w:val="TableNormal"/>
        <w:tblW w:w="92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8"/>
        <w:gridCol w:w="3249"/>
        <w:gridCol w:w="2835"/>
        <w:gridCol w:w="2376"/>
      </w:tblGrid>
      <w:tr>
        <w:tblPrEx>
          <w:tblW w:w="92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480"/>
          <w:jc w:val="center"/>
        </w:trPr>
        <w:tc>
          <w:tcPr>
            <w:tcW w:w="828" w:type="dxa"/>
            <w:vAlign w:val="center"/>
          </w:tcPr>
          <w:p>
            <w:pPr>
              <w:adjustRightInd w:val="0"/>
              <w:snapToGrid w:val="0"/>
              <w:spacing w:line="300" w:lineRule="auto"/>
              <w:jc w:val="center"/>
              <w:rPr>
                <w:b/>
                <w:snapToGrid w:val="0"/>
                <w:kern w:val="0"/>
              </w:rPr>
            </w:pPr>
            <w:r>
              <w:rPr>
                <w:b/>
                <w:snapToGrid w:val="0"/>
                <w:kern w:val="0"/>
              </w:rPr>
              <w:t>序号</w:t>
            </w:r>
          </w:p>
        </w:tc>
        <w:tc>
          <w:tcPr>
            <w:tcW w:w="3249"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835"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W w:w="9288" w:type="dxa"/>
          <w:jc w:val="center"/>
          <w:tblLayout w:type="fixed"/>
          <w:tblCellMar>
            <w:top w:w="0" w:type="dxa"/>
            <w:left w:w="108" w:type="dxa"/>
            <w:bottom w:w="0" w:type="dxa"/>
            <w:right w:w="108" w:type="dxa"/>
          </w:tblCellMar>
        </w:tblPrEx>
        <w:trPr>
          <w:cantSplit/>
          <w:trHeight w:val="422"/>
          <w:jc w:val="center"/>
        </w:trPr>
        <w:tc>
          <w:tcPr>
            <w:tcW w:w="828" w:type="dxa"/>
            <w:vAlign w:val="center"/>
          </w:tcPr>
          <w:p>
            <w:pPr>
              <w:adjustRightInd w:val="0"/>
              <w:snapToGrid w:val="0"/>
              <w:spacing w:line="300" w:lineRule="auto"/>
              <w:jc w:val="center"/>
              <w:rPr>
                <w:snapToGrid w:val="0"/>
                <w:kern w:val="0"/>
              </w:rPr>
            </w:pPr>
            <w:r>
              <w:rPr>
                <w:snapToGrid w:val="0"/>
                <w:kern w:val="0"/>
              </w:rPr>
              <w:t>1</w:t>
            </w:r>
          </w:p>
        </w:tc>
        <w:tc>
          <w:tcPr>
            <w:tcW w:w="3249" w:type="dxa"/>
            <w:vAlign w:val="center"/>
          </w:tcPr>
          <w:p>
            <w:pPr>
              <w:spacing w:line="360" w:lineRule="auto"/>
              <w:jc w:val="center"/>
              <w:rPr>
                <w:snapToGrid w:val="0"/>
                <w:kern w:val="0"/>
              </w:rPr>
            </w:pPr>
            <w:r>
              <w:rPr>
                <w:rFonts w:hint="eastAsia"/>
                <w:b/>
                <w:bCs/>
                <w:snapToGrid w:val="0"/>
                <w:kern w:val="0"/>
                <w:lang w:val="en-US" w:eastAsia="zh-CN"/>
              </w:rPr>
              <w:t>固定费用</w:t>
            </w: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W w:w="9288" w:type="dxa"/>
          <w:jc w:val="center"/>
          <w:tblLayout w:type="fixed"/>
          <w:tblCellMar>
            <w:top w:w="0" w:type="dxa"/>
            <w:left w:w="108" w:type="dxa"/>
            <w:bottom w:w="0" w:type="dxa"/>
            <w:right w:w="108" w:type="dxa"/>
          </w:tblCellMar>
        </w:tblPrEx>
        <w:trPr>
          <w:cantSplit/>
          <w:trHeight w:val="428"/>
          <w:jc w:val="center"/>
        </w:trPr>
        <w:tc>
          <w:tcPr>
            <w:tcW w:w="828" w:type="dxa"/>
            <w:vAlign w:val="center"/>
          </w:tcPr>
          <w:p>
            <w:pPr>
              <w:adjustRightInd w:val="0"/>
              <w:snapToGrid w:val="0"/>
              <w:spacing w:line="300" w:lineRule="auto"/>
              <w:jc w:val="center"/>
              <w:rPr>
                <w:snapToGrid w:val="0"/>
                <w:kern w:val="0"/>
              </w:rPr>
            </w:pPr>
            <w:r>
              <w:rPr>
                <w:rFonts w:hint="eastAsia"/>
                <w:snapToGrid w:val="0"/>
                <w:kern w:val="0"/>
              </w:rPr>
              <w:t>2</w:t>
            </w:r>
          </w:p>
        </w:tc>
        <w:tc>
          <w:tcPr>
            <w:tcW w:w="3249" w:type="dxa"/>
            <w:vAlign w:val="center"/>
          </w:tcPr>
          <w:p>
            <w:pPr>
              <w:spacing w:line="360" w:lineRule="auto"/>
              <w:jc w:val="center"/>
              <w:rPr>
                <w:rFonts w:ascii="宋体" w:hAnsi="宋体"/>
                <w:szCs w:val="21"/>
                <w:lang w:val="zh-CN"/>
              </w:rPr>
            </w:pPr>
            <w:r>
              <w:rPr>
                <w:rFonts w:ascii="宋体" w:hAnsi="宋体" w:cs="宋体" w:hint="eastAsia"/>
                <w:b/>
                <w:color w:val="000000"/>
                <w:szCs w:val="21"/>
              </w:rPr>
              <w:t>维护费用</w:t>
            </w: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W w:w="9288" w:type="dxa"/>
          <w:jc w:val="center"/>
          <w:tblLayout w:type="fixed"/>
          <w:tblCellMar>
            <w:top w:w="0" w:type="dxa"/>
            <w:left w:w="108" w:type="dxa"/>
            <w:bottom w:w="0" w:type="dxa"/>
            <w:right w:w="108" w:type="dxa"/>
          </w:tblCellMar>
        </w:tblPrEx>
        <w:trPr>
          <w:cantSplit/>
          <w:trHeight w:val="424"/>
          <w:jc w:val="center"/>
        </w:trPr>
        <w:tc>
          <w:tcPr>
            <w:tcW w:w="4077" w:type="dxa"/>
            <w:gridSpan w:val="2"/>
            <w:vAlign w:val="center"/>
          </w:tcPr>
          <w:p>
            <w:pPr>
              <w:adjustRightInd w:val="0"/>
              <w:snapToGrid w:val="0"/>
              <w:spacing w:line="300" w:lineRule="auto"/>
              <w:jc w:val="center"/>
              <w:rPr>
                <w:snapToGrid w:val="0"/>
                <w:kern w:val="0"/>
              </w:rPr>
            </w:pPr>
            <w:r>
              <w:rPr>
                <w:snapToGrid w:val="0"/>
                <w:kern w:val="0"/>
              </w:rPr>
              <w:t>合   计</w:t>
            </w:r>
            <w:r>
              <w:rPr>
                <w:rFonts w:hint="eastAsia"/>
                <w:snapToGrid w:val="0"/>
                <w:kern w:val="0"/>
              </w:rPr>
              <w:t>（</w:t>
            </w:r>
            <w:r>
              <w:rPr>
                <w:rFonts w:ascii="宋体" w:hAnsi="宋体" w:hint="eastAsia"/>
                <w:szCs w:val="21"/>
              </w:rPr>
              <w:t>即投标总价</w:t>
            </w:r>
            <w:r>
              <w:rPr>
                <w:rFonts w:hint="eastAsia"/>
                <w:snapToGrid w:val="0"/>
                <w:kern w:val="0"/>
              </w:rPr>
              <w:t>）</w:t>
            </w: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注：1、本表格内容不得修改调整。</w:t>
      </w:r>
    </w:p>
    <w:p>
      <w:pPr>
        <w:tabs>
          <w:tab w:val="left" w:pos="765"/>
        </w:tabs>
        <w:spacing w:line="376" w:lineRule="auto"/>
        <w:outlineLvl w:val="3"/>
        <w:rPr>
          <w:rFonts w:eastAsia="宋体" w:asciiTheme="minorEastAsia" w:hAnsiTheme="minorEastAsia" w:hint="eastAsia"/>
          <w:bCs/>
          <w:kern w:val="0"/>
          <w:szCs w:val="21"/>
          <w:lang w:eastAsia="zh-CN"/>
        </w:rPr>
      </w:pPr>
      <w:r>
        <w:rPr>
          <w:rFonts w:asciiTheme="minorEastAsia" w:eastAsiaTheme="minorEastAsia" w:hAnsiTheme="minorEastAsia" w:hint="eastAsia"/>
          <w:bCs/>
          <w:kern w:val="0"/>
          <w:szCs w:val="21"/>
        </w:rPr>
        <w:t>2、投标总价应为以上各分项价格之和。</w:t>
      </w:r>
      <w:r>
        <w:rPr>
          <w:rFonts w:asciiTheme="minorEastAsia" w:eastAsiaTheme="minorEastAsia" w:hAnsiTheme="minorEastAsia" w:hint="eastAsia"/>
          <w:b/>
          <w:bCs w:val="0"/>
          <w:kern w:val="0"/>
          <w:szCs w:val="21"/>
        </w:rPr>
        <w:t>其中</w:t>
      </w:r>
      <w:r>
        <w:rPr>
          <w:rFonts w:ascii="宋体" w:hAnsi="宋体" w:cs="宋体" w:hint="eastAsia"/>
          <w:b/>
          <w:bCs/>
          <w:szCs w:val="21"/>
        </w:rPr>
        <w:t>人员费用最高限价为人民币</w:t>
      </w:r>
      <w:r>
        <w:rPr>
          <w:rFonts w:ascii="宋体" w:hAnsi="宋体" w:cs="宋体" w:hint="eastAsia"/>
          <w:b/>
          <w:bCs/>
          <w:szCs w:val="21"/>
          <w:lang w:val="en-US" w:eastAsia="zh-CN"/>
        </w:rPr>
        <w:t>8</w:t>
      </w:r>
      <w:r>
        <w:rPr>
          <w:rFonts w:ascii="宋体" w:hAnsi="宋体" w:cs="宋体"/>
          <w:b/>
          <w:bCs/>
          <w:szCs w:val="21"/>
        </w:rPr>
        <w:t>00</w:t>
      </w:r>
      <w:r>
        <w:rPr>
          <w:rFonts w:ascii="宋体" w:hAnsi="宋体" w:cs="宋体" w:hint="eastAsia"/>
          <w:b/>
          <w:bCs/>
          <w:szCs w:val="21"/>
        </w:rPr>
        <w:t>,</w:t>
      </w:r>
      <w:r>
        <w:rPr>
          <w:rFonts w:ascii="宋体" w:hAnsi="宋体" w:cs="宋体"/>
          <w:b/>
          <w:bCs/>
          <w:szCs w:val="21"/>
        </w:rPr>
        <w:t>000.00</w:t>
      </w:r>
      <w:r>
        <w:rPr>
          <w:rFonts w:ascii="宋体" w:hAnsi="宋体" w:cs="宋体" w:hint="eastAsia"/>
          <w:b/>
          <w:bCs/>
          <w:szCs w:val="21"/>
        </w:rPr>
        <w:t>元，</w:t>
      </w:r>
      <w:r>
        <w:rPr>
          <w:rFonts w:ascii="宋体" w:hAnsi="宋体" w:cs="宋体" w:hint="eastAsia"/>
          <w:b/>
          <w:color w:val="000000"/>
          <w:szCs w:val="21"/>
        </w:rPr>
        <w:t>维护费用</w:t>
      </w:r>
      <w:r>
        <w:rPr>
          <w:rFonts w:ascii="宋体" w:hAnsi="宋体" w:cs="宋体" w:hint="eastAsia"/>
          <w:b/>
          <w:bCs/>
          <w:szCs w:val="21"/>
        </w:rPr>
        <w:t>最高限价为人民币</w:t>
      </w:r>
      <w:r>
        <w:rPr>
          <w:rFonts w:ascii="宋体" w:hAnsi="宋体" w:cs="宋体" w:hint="eastAsia"/>
          <w:b/>
          <w:bCs/>
          <w:szCs w:val="21"/>
          <w:lang w:val="en-US" w:eastAsia="zh-CN"/>
        </w:rPr>
        <w:t>5</w:t>
      </w:r>
      <w:r>
        <w:rPr>
          <w:rFonts w:ascii="宋体" w:hAnsi="宋体" w:cs="宋体" w:hint="eastAsia"/>
          <w:b/>
          <w:bCs/>
          <w:szCs w:val="21"/>
        </w:rPr>
        <w:t>,</w:t>
      </w:r>
      <w:r>
        <w:rPr>
          <w:rFonts w:ascii="宋体" w:hAnsi="宋体" w:cs="宋体" w:hint="eastAsia"/>
          <w:b/>
          <w:bCs/>
          <w:szCs w:val="21"/>
          <w:lang w:val="en-US" w:eastAsia="zh-CN"/>
        </w:rPr>
        <w:t>5</w:t>
      </w:r>
      <w:r>
        <w:rPr>
          <w:rFonts w:ascii="宋体" w:hAnsi="宋体" w:cs="宋体"/>
          <w:b/>
          <w:bCs/>
          <w:szCs w:val="21"/>
        </w:rPr>
        <w:t>00</w:t>
      </w:r>
      <w:r>
        <w:rPr>
          <w:rFonts w:ascii="宋体" w:hAnsi="宋体" w:cs="宋体" w:hint="eastAsia"/>
          <w:b/>
          <w:bCs/>
          <w:szCs w:val="21"/>
        </w:rPr>
        <w:t>,</w:t>
      </w:r>
      <w:r>
        <w:rPr>
          <w:rFonts w:ascii="宋体" w:hAnsi="宋体" w:cs="宋体"/>
          <w:b/>
          <w:bCs/>
          <w:szCs w:val="21"/>
        </w:rPr>
        <w:t>000.00</w:t>
      </w:r>
      <w:r>
        <w:rPr>
          <w:rFonts w:ascii="宋体" w:hAnsi="宋体" w:cs="宋体" w:hint="eastAsia"/>
          <w:b/>
          <w:bCs/>
          <w:szCs w:val="21"/>
        </w:rPr>
        <w:t>元</w:t>
      </w:r>
      <w:r>
        <w:rPr>
          <w:rFonts w:ascii="宋体" w:hAnsi="宋体" w:cs="宋体" w:hint="eastAsia"/>
          <w:b/>
          <w:bCs/>
          <w:szCs w:val="21"/>
          <w:lang w:eastAsia="zh-CN"/>
        </w:rPr>
        <w:t>，</w:t>
      </w:r>
      <w:r>
        <w:rPr>
          <w:rFonts w:ascii="宋体" w:hAnsi="宋体" w:cs="宋体" w:hint="eastAsia"/>
          <w:b/>
          <w:bCs/>
          <w:szCs w:val="21"/>
          <w:lang w:val="en-US" w:eastAsia="zh-CN"/>
        </w:rPr>
        <w:t>任意一项费用的投标报价超过其最高限价的，将导致投标无效。</w:t>
      </w:r>
    </w:p>
    <w:p>
      <w:pPr>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3、开标一览表的投标总价必须与以上分项报价清单的投标总价一致。</w:t>
      </w:r>
    </w:p>
    <w:p>
      <w:pPr>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4、</w:t>
      </w:r>
      <w:r>
        <w:rPr>
          <w:rFonts w:ascii="宋体" w:hAnsi="宋体" w:hint="eastAsia"/>
          <w:szCs w:val="21"/>
        </w:rPr>
        <w:t>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765"/>
        </w:tabs>
        <w:spacing w:line="376" w:lineRule="auto"/>
        <w:outlineLvl w:val="3"/>
        <w:rPr>
          <w:rFonts w:asciiTheme="minorEastAsia" w:eastAsiaTheme="minorEastAsia" w:hAnsiTheme="minorEastAsia"/>
          <w:bCs/>
          <w:kern w:val="0"/>
          <w:szCs w:val="21"/>
        </w:rPr>
      </w:pPr>
    </w:p>
    <w:p>
      <w:pPr>
        <w:keepNext w:val="0"/>
        <w:keepLines w:val="0"/>
        <w:pageBreakBefore w:val="0"/>
        <w:widowControl w:val="0"/>
        <w:kinsoku/>
        <w:wordWrap/>
        <w:overflowPunct/>
        <w:topLinePunct w:val="0"/>
        <w:autoSpaceDE/>
        <w:autoSpaceDN/>
        <w:bidi w:val="0"/>
        <w:adjustRightInd/>
        <w:snapToGrid/>
        <w:jc w:val="center"/>
        <w:textAlignment w:val="auto"/>
        <w:rPr>
          <w:rFonts w:ascii="黑体" w:eastAsia="黑体" w:hAnsi="宋体"/>
          <w:bCs/>
          <w:kern w:val="0"/>
          <w:sz w:val="24"/>
          <w:szCs w:val="24"/>
        </w:rPr>
      </w:pPr>
      <w:r>
        <w:rPr>
          <w:rFonts w:ascii="黑体" w:eastAsia="黑体" w:hAnsi="宋体" w:hint="eastAsia"/>
          <w:bCs/>
          <w:kern w:val="0"/>
          <w:sz w:val="24"/>
          <w:szCs w:val="24"/>
        </w:rPr>
        <w:t>十、服务要求偏离表</w:t>
      </w:r>
    </w:p>
    <w:tbl>
      <w:tblPr>
        <w:tblStyle w:val="TableNormal"/>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1"/>
        <w:gridCol w:w="2551"/>
        <w:gridCol w:w="1985"/>
        <w:gridCol w:w="1276"/>
        <w:gridCol w:w="2551"/>
      </w:tblGrid>
      <w:tr>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51"/>
        </w:trPr>
        <w:tc>
          <w:tcPr>
            <w:tcW w:w="85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Cs w:val="21"/>
              </w:rPr>
            </w:pPr>
            <w:r>
              <w:rPr>
                <w:rFonts w:ascii="宋体" w:hAnsi="宋体" w:hint="eastAsia"/>
                <w:szCs w:val="21"/>
              </w:rPr>
              <w:t>序号</w:t>
            </w:r>
          </w:p>
        </w:tc>
        <w:tc>
          <w:tcPr>
            <w:tcW w:w="255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Cs w:val="21"/>
              </w:rPr>
            </w:pPr>
            <w:r>
              <w:rPr>
                <w:rFonts w:ascii="宋体" w:hAnsi="宋体" w:hint="eastAsia"/>
                <w:szCs w:val="21"/>
              </w:rPr>
              <w:t>招标文件服务要求</w:t>
            </w:r>
          </w:p>
        </w:tc>
        <w:tc>
          <w:tcPr>
            <w:tcW w:w="19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Cs w:val="21"/>
              </w:rPr>
            </w:pPr>
            <w:r>
              <w:rPr>
                <w:rFonts w:ascii="宋体" w:hAnsi="宋体" w:hint="eastAsia"/>
                <w:szCs w:val="21"/>
              </w:rPr>
              <w:t>投标文件服务响应</w:t>
            </w:r>
          </w:p>
        </w:tc>
        <w:tc>
          <w:tcPr>
            <w:tcW w:w="127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Cs w:val="21"/>
              </w:rPr>
            </w:pPr>
            <w:r>
              <w:rPr>
                <w:rFonts w:ascii="宋体" w:hAnsi="宋体" w:hint="eastAsia"/>
                <w:szCs w:val="21"/>
              </w:rPr>
              <w:t>偏离情况</w:t>
            </w:r>
          </w:p>
        </w:tc>
        <w:tc>
          <w:tcPr>
            <w:tcW w:w="255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Cs w:val="21"/>
              </w:rPr>
            </w:pPr>
            <w:r>
              <w:rPr>
                <w:rFonts w:ascii="宋体" w:hAnsi="宋体" w:hint="eastAsia"/>
                <w:szCs w:val="21"/>
              </w:rPr>
              <w:t>说明</w:t>
            </w:r>
          </w:p>
        </w:tc>
      </w:tr>
      <w:tr>
        <w:tblPrEx>
          <w:tblW w:w="9214" w:type="dxa"/>
          <w:tblInd w:w="108" w:type="dxa"/>
          <w:tblLayout w:type="fixed"/>
          <w:tblCellMar>
            <w:top w:w="0" w:type="dxa"/>
            <w:left w:w="108" w:type="dxa"/>
            <w:bottom w:w="0" w:type="dxa"/>
            <w:right w:w="108" w:type="dxa"/>
          </w:tblCellMar>
        </w:tblPrEx>
        <w:trPr>
          <w:trHeight w:val="262"/>
        </w:trPr>
        <w:tc>
          <w:tcPr>
            <w:tcW w:w="851"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2551"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1985"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1276"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2551" w:type="dxa"/>
          </w:tcPr>
          <w:p>
            <w:pPr>
              <w:keepNext w:val="0"/>
              <w:keepLines w:val="0"/>
              <w:pageBreakBefore w:val="0"/>
              <w:widowControl w:val="0"/>
              <w:kinsoku/>
              <w:wordWrap/>
              <w:overflowPunct/>
              <w:topLinePunct w:val="0"/>
              <w:autoSpaceDE/>
              <w:autoSpaceDN/>
              <w:bidi w:val="0"/>
              <w:adjustRightInd/>
              <w:snapToGrid/>
              <w:textAlignment w:val="auto"/>
              <w:rPr>
                <w:szCs w:val="21"/>
              </w:rPr>
            </w:pPr>
            <w:r>
              <w:rPr>
                <w:rFonts w:hint="eastAsia"/>
                <w:szCs w:val="21"/>
              </w:rPr>
              <w:t>如需附证明文件，应在“说明”栏填写证明文件对应名称和页码。</w:t>
            </w:r>
          </w:p>
        </w:tc>
      </w:tr>
      <w:tr>
        <w:tblPrEx>
          <w:tblW w:w="9214" w:type="dxa"/>
          <w:tblInd w:w="108" w:type="dxa"/>
          <w:tblLayout w:type="fixed"/>
          <w:tblCellMar>
            <w:top w:w="0" w:type="dxa"/>
            <w:left w:w="108" w:type="dxa"/>
            <w:bottom w:w="0" w:type="dxa"/>
            <w:right w:w="108" w:type="dxa"/>
          </w:tblCellMar>
        </w:tblPrEx>
        <w:trPr>
          <w:trHeight w:val="262"/>
        </w:trPr>
        <w:tc>
          <w:tcPr>
            <w:tcW w:w="851"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2551"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1985"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1276"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2551" w:type="dxa"/>
          </w:tcPr>
          <w:p>
            <w:pPr>
              <w:keepNext w:val="0"/>
              <w:keepLines w:val="0"/>
              <w:pageBreakBefore w:val="0"/>
              <w:widowControl w:val="0"/>
              <w:kinsoku/>
              <w:wordWrap/>
              <w:overflowPunct/>
              <w:topLinePunct w:val="0"/>
              <w:autoSpaceDE/>
              <w:autoSpaceDN/>
              <w:bidi w:val="0"/>
              <w:adjustRightInd/>
              <w:snapToGrid/>
              <w:textAlignment w:val="auto"/>
              <w:rPr>
                <w:sz w:val="24"/>
              </w:rPr>
            </w:pPr>
          </w:p>
        </w:tc>
      </w:tr>
    </w:tbl>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备注：</w:t>
      </w:r>
    </w:p>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eastAsiaTheme="minorEastAsia" w:hAnsiTheme="minorEastAsia"/>
          <w:bCs/>
          <w:kern w:val="0"/>
          <w:szCs w:val="21"/>
        </w:rPr>
      </w:pPr>
      <w:r>
        <w:rPr>
          <w:rFonts w:asciiTheme="minorEastAsia" w:eastAsiaTheme="minorEastAsia" w:hAnsiTheme="minorEastAsia"/>
          <w:bCs/>
          <w:kern w:val="0"/>
          <w:szCs w:val="21"/>
        </w:rPr>
        <w:t>1</w:t>
      </w:r>
      <w:r>
        <w:rPr>
          <w:rFonts w:asciiTheme="minorEastAsia" w:eastAsiaTheme="minorEastAsia" w:hAnsiTheme="minorEastAsia" w:hint="eastAsia"/>
          <w:bCs/>
          <w:kern w:val="0"/>
          <w:szCs w:val="21"/>
        </w:rPr>
        <w:t>、</w:t>
      </w:r>
      <w:r>
        <w:rPr>
          <w:rFonts w:asciiTheme="minorEastAsia" w:eastAsiaTheme="minorEastAsia" w:hAnsiTheme="minorEastAsia"/>
          <w:bCs/>
          <w:kern w:val="0"/>
          <w:szCs w:val="21"/>
        </w:rPr>
        <w:t>“招标文件服务要求”一栏填写招标文件第二章“招标项目需求”</w:t>
      </w:r>
      <w:r>
        <w:rPr>
          <w:rFonts w:asciiTheme="minorEastAsia" w:eastAsiaTheme="minorEastAsia" w:hAnsiTheme="minorEastAsia"/>
          <w:b/>
          <w:bCs/>
          <w:kern w:val="0"/>
          <w:szCs w:val="21"/>
          <w:highlight w:val="yellow"/>
        </w:rPr>
        <w:t>“</w:t>
      </w:r>
      <w:r>
        <w:rPr>
          <w:rFonts w:asciiTheme="minorEastAsia" w:eastAsiaTheme="minorEastAsia" w:hAnsiTheme="minorEastAsia" w:hint="eastAsia"/>
          <w:b/>
          <w:bCs/>
          <w:kern w:val="0"/>
          <w:szCs w:val="21"/>
          <w:highlight w:val="yellow"/>
        </w:rPr>
        <w:t>四、项目</w:t>
      </w:r>
      <w:r>
        <w:rPr>
          <w:rFonts w:asciiTheme="minorEastAsia" w:eastAsiaTheme="minorEastAsia" w:hAnsiTheme="minorEastAsia"/>
          <w:b/>
          <w:bCs/>
          <w:kern w:val="0"/>
          <w:szCs w:val="21"/>
          <w:highlight w:val="yellow"/>
        </w:rPr>
        <w:t>服务</w:t>
      </w:r>
      <w:r>
        <w:rPr>
          <w:rFonts w:asciiTheme="minorEastAsia" w:eastAsiaTheme="minorEastAsia" w:hAnsiTheme="minorEastAsia" w:hint="eastAsia"/>
          <w:b/>
          <w:bCs/>
          <w:kern w:val="0"/>
          <w:szCs w:val="21"/>
          <w:highlight w:val="yellow"/>
        </w:rPr>
        <w:t>要求</w:t>
      </w:r>
      <w:r>
        <w:rPr>
          <w:rFonts w:asciiTheme="minorEastAsia" w:eastAsiaTheme="minorEastAsia" w:hAnsiTheme="minorEastAsia"/>
          <w:b/>
          <w:bCs/>
          <w:kern w:val="0"/>
          <w:szCs w:val="21"/>
          <w:highlight w:val="yellow"/>
        </w:rPr>
        <w:t>”</w:t>
      </w:r>
      <w:r>
        <w:rPr>
          <w:rFonts w:asciiTheme="minorEastAsia" w:eastAsiaTheme="minorEastAsia" w:hAnsiTheme="minorEastAsia"/>
          <w:bCs/>
          <w:kern w:val="0"/>
          <w:szCs w:val="21"/>
        </w:rPr>
        <w:t>的内容。</w:t>
      </w:r>
    </w:p>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eastAsiaTheme="minorEastAsia" w:hAnsiTheme="minorEastAsia"/>
          <w:bCs/>
          <w:kern w:val="0"/>
          <w:szCs w:val="21"/>
        </w:rPr>
      </w:pPr>
      <w:r>
        <w:rPr>
          <w:rFonts w:asciiTheme="minorEastAsia" w:eastAsiaTheme="minorEastAsia" w:hAnsiTheme="minorEastAsia"/>
          <w:bCs/>
          <w:kern w:val="0"/>
          <w:szCs w:val="21"/>
        </w:rPr>
        <w:t>2</w:t>
      </w:r>
      <w:r>
        <w:rPr>
          <w:rFonts w:asciiTheme="minorEastAsia" w:eastAsiaTheme="minorEastAsia" w:hAnsiTheme="minorEastAsia" w:hint="eastAsia"/>
          <w:bCs/>
          <w:kern w:val="0"/>
          <w:szCs w:val="21"/>
        </w:rPr>
        <w:t>、</w:t>
      </w:r>
      <w:r>
        <w:rPr>
          <w:rFonts w:asciiTheme="minorEastAsia" w:eastAsiaTheme="minorEastAsia" w:hAnsiTheme="minorEastAsia"/>
          <w:bCs/>
          <w:kern w:val="0"/>
          <w:szCs w:val="21"/>
        </w:rPr>
        <w:t>“投标文件服务</w:t>
      </w:r>
      <w:r>
        <w:rPr>
          <w:rFonts w:asciiTheme="minorEastAsia" w:eastAsiaTheme="minorEastAsia" w:hAnsiTheme="minorEastAsia" w:hint="eastAsia"/>
          <w:bCs/>
          <w:kern w:val="0"/>
          <w:szCs w:val="21"/>
        </w:rPr>
        <w:t>响应</w:t>
      </w:r>
      <w:r>
        <w:rPr>
          <w:rFonts w:asciiTheme="minorEastAsia" w:eastAsiaTheme="minorEastAsia" w:hAnsiTheme="minorEastAsia"/>
          <w:bCs/>
          <w:kern w:val="0"/>
          <w:szCs w:val="21"/>
        </w:rPr>
        <w:t>”一栏详细填写响应情况，并应对照</w:t>
      </w:r>
      <w:r>
        <w:rPr>
          <w:rFonts w:asciiTheme="minorEastAsia" w:eastAsiaTheme="minorEastAsia" w:hAnsiTheme="minorEastAsia" w:hint="eastAsia"/>
          <w:bCs/>
          <w:kern w:val="0"/>
          <w:szCs w:val="21"/>
        </w:rPr>
        <w:t>招</w:t>
      </w:r>
      <w:r>
        <w:rPr>
          <w:rFonts w:asciiTheme="minorEastAsia" w:eastAsiaTheme="minorEastAsia" w:hAnsiTheme="minorEastAsia"/>
          <w:bCs/>
          <w:kern w:val="0"/>
          <w:szCs w:val="21"/>
        </w:rPr>
        <w:t>标文件</w:t>
      </w:r>
      <w:r>
        <w:rPr>
          <w:rFonts w:asciiTheme="minorEastAsia" w:eastAsiaTheme="minorEastAsia" w:hAnsiTheme="minorEastAsia" w:hint="eastAsia"/>
          <w:bCs/>
          <w:kern w:val="0"/>
          <w:szCs w:val="21"/>
        </w:rPr>
        <w:t>服务</w:t>
      </w:r>
      <w:r>
        <w:rPr>
          <w:rFonts w:asciiTheme="minorEastAsia" w:eastAsiaTheme="minorEastAsia" w:hAnsiTheme="minorEastAsia"/>
          <w:bCs/>
          <w:kern w:val="0"/>
          <w:szCs w:val="21"/>
        </w:rPr>
        <w:t>要求一一对应响应。</w:t>
      </w:r>
    </w:p>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eastAsiaTheme="minorEastAsia" w:hAnsiTheme="minorEastAsia"/>
          <w:bCs/>
          <w:kern w:val="0"/>
          <w:szCs w:val="21"/>
        </w:rPr>
      </w:pPr>
      <w:r>
        <w:rPr>
          <w:rFonts w:asciiTheme="minorEastAsia" w:eastAsiaTheme="minorEastAsia" w:hAnsiTheme="minorEastAsia"/>
          <w:bCs/>
          <w:kern w:val="0"/>
          <w:szCs w:val="21"/>
        </w:rPr>
        <w:t>3</w:t>
      </w:r>
      <w:r>
        <w:rPr>
          <w:rFonts w:asciiTheme="minorEastAsia" w:eastAsiaTheme="minorEastAsia" w:hAnsiTheme="minorEastAsia" w:hint="eastAsia"/>
          <w:bCs/>
          <w:kern w:val="0"/>
          <w:szCs w:val="21"/>
        </w:rPr>
        <w:t>、</w:t>
      </w:r>
      <w:r>
        <w:rPr>
          <w:rFonts w:asciiTheme="minorEastAsia" w:eastAsiaTheme="minorEastAsia" w:hAnsiTheme="minorEastAsia"/>
          <w:bCs/>
          <w:kern w:val="0"/>
          <w:szCs w:val="21"/>
        </w:rPr>
        <w:t>“偏离情况”一栏应如实填写“正偏离”、“负偏离”或“无偏离”。</w:t>
      </w:r>
    </w:p>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4、对于实质性条款，投标文件响应为“负偏离”的，投标文件将作投标无效处理</w:t>
      </w:r>
      <w:r>
        <w:rPr>
          <w:rFonts w:asciiTheme="minorEastAsia" w:eastAsiaTheme="minorEastAsia" w:hAnsiTheme="minorEastAsia"/>
          <w:bCs/>
          <w:kern w:val="0"/>
          <w:szCs w:val="21"/>
        </w:rPr>
        <w:t>。</w:t>
      </w:r>
    </w:p>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5、如招标文件要求提供证明材料的，投标文件需提供相应证明材料扫描件（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keepNext w:val="0"/>
        <w:keepLines w:val="0"/>
        <w:pageBreakBefore w:val="0"/>
        <w:widowControl w:val="0"/>
        <w:kinsoku/>
        <w:wordWrap/>
        <w:overflowPunct/>
        <w:topLinePunct w:val="0"/>
        <w:autoSpaceDE/>
        <w:autoSpaceDN/>
        <w:bidi w:val="0"/>
        <w:adjustRightInd/>
        <w:snapToGrid/>
        <w:jc w:val="center"/>
        <w:textAlignment w:val="auto"/>
        <w:rPr>
          <w:rFonts w:ascii="黑体" w:eastAsia="黑体" w:hAnsi="宋体"/>
          <w:bCs/>
          <w:kern w:val="0"/>
          <w:sz w:val="24"/>
          <w:szCs w:val="24"/>
        </w:rPr>
      </w:pPr>
      <w:r>
        <w:rPr>
          <w:rFonts w:ascii="黑体" w:eastAsia="黑体" w:hAnsi="宋体" w:hint="eastAsia"/>
          <w:bCs/>
          <w:kern w:val="0"/>
          <w:sz w:val="24"/>
          <w:szCs w:val="24"/>
        </w:rPr>
        <w:t>十一、商务要求偏离表</w:t>
      </w:r>
    </w:p>
    <w:tbl>
      <w:tblPr>
        <w:tblStyle w:val="TableNormal"/>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51"/>
        <w:gridCol w:w="2410"/>
        <w:gridCol w:w="2551"/>
        <w:gridCol w:w="1344"/>
        <w:gridCol w:w="2008"/>
      </w:tblGrid>
      <w:tr>
        <w:tblPrEx>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48"/>
        </w:trPr>
        <w:tc>
          <w:tcPr>
            <w:tcW w:w="85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Cs w:val="21"/>
              </w:rPr>
            </w:pPr>
            <w:r>
              <w:rPr>
                <w:rFonts w:ascii="宋体" w:hAnsi="宋体" w:hint="eastAsia"/>
                <w:szCs w:val="21"/>
              </w:rPr>
              <w:t>序号</w:t>
            </w:r>
          </w:p>
        </w:tc>
        <w:tc>
          <w:tcPr>
            <w:tcW w:w="24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Cs w:val="21"/>
              </w:rPr>
            </w:pPr>
            <w:r>
              <w:rPr>
                <w:rFonts w:ascii="宋体" w:hAnsi="宋体" w:hint="eastAsia"/>
                <w:szCs w:val="21"/>
              </w:rPr>
              <w:t>招标文件商务要求</w:t>
            </w:r>
          </w:p>
        </w:tc>
        <w:tc>
          <w:tcPr>
            <w:tcW w:w="255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Cs w:val="21"/>
              </w:rPr>
            </w:pPr>
            <w:r>
              <w:rPr>
                <w:rFonts w:ascii="宋体" w:hAnsi="宋体" w:hint="eastAsia"/>
                <w:szCs w:val="21"/>
              </w:rPr>
              <w:t>投标文件商务响应</w:t>
            </w:r>
          </w:p>
        </w:tc>
        <w:tc>
          <w:tcPr>
            <w:tcW w:w="134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Cs w:val="21"/>
              </w:rPr>
            </w:pPr>
            <w:r>
              <w:rPr>
                <w:rFonts w:ascii="宋体" w:hAnsi="宋体" w:hint="eastAsia"/>
                <w:szCs w:val="21"/>
              </w:rPr>
              <w:t>偏离情况</w:t>
            </w:r>
          </w:p>
        </w:tc>
        <w:tc>
          <w:tcPr>
            <w:tcW w:w="20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Cs w:val="21"/>
              </w:rPr>
            </w:pPr>
            <w:r>
              <w:rPr>
                <w:rFonts w:ascii="宋体" w:hAnsi="宋体" w:hint="eastAsia"/>
                <w:szCs w:val="21"/>
              </w:rPr>
              <w:t>说明</w:t>
            </w:r>
          </w:p>
        </w:tc>
      </w:tr>
      <w:tr>
        <w:tblPrEx>
          <w:tblW w:w="9164" w:type="dxa"/>
          <w:tblInd w:w="108" w:type="dxa"/>
          <w:tblLayout w:type="fixed"/>
          <w:tblCellMar>
            <w:top w:w="0" w:type="dxa"/>
            <w:left w:w="108" w:type="dxa"/>
            <w:bottom w:w="0" w:type="dxa"/>
            <w:right w:w="108" w:type="dxa"/>
          </w:tblCellMar>
        </w:tblPrEx>
        <w:trPr>
          <w:trHeight w:val="261"/>
        </w:trPr>
        <w:tc>
          <w:tcPr>
            <w:tcW w:w="851"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2410"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2551"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1344"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2008" w:type="dxa"/>
          </w:tcPr>
          <w:p>
            <w:pPr>
              <w:keepNext w:val="0"/>
              <w:keepLines w:val="0"/>
              <w:pageBreakBefore w:val="0"/>
              <w:widowControl w:val="0"/>
              <w:kinsoku/>
              <w:wordWrap/>
              <w:overflowPunct/>
              <w:topLinePunct w:val="0"/>
              <w:autoSpaceDE/>
              <w:autoSpaceDN/>
              <w:bidi w:val="0"/>
              <w:adjustRightInd/>
              <w:snapToGrid/>
              <w:textAlignment w:val="auto"/>
              <w:rPr>
                <w:sz w:val="24"/>
              </w:rPr>
            </w:pPr>
            <w:r>
              <w:rPr>
                <w:rFonts w:hint="eastAsia"/>
                <w:szCs w:val="21"/>
              </w:rPr>
              <w:t>如需附证明文件，应在“说明”栏填写证明文件对应名称和页码。</w:t>
            </w:r>
          </w:p>
        </w:tc>
      </w:tr>
      <w:tr>
        <w:tblPrEx>
          <w:tblW w:w="9164" w:type="dxa"/>
          <w:tblInd w:w="108" w:type="dxa"/>
          <w:tblLayout w:type="fixed"/>
          <w:tblCellMar>
            <w:top w:w="0" w:type="dxa"/>
            <w:left w:w="108" w:type="dxa"/>
            <w:bottom w:w="0" w:type="dxa"/>
            <w:right w:w="108" w:type="dxa"/>
          </w:tblCellMar>
        </w:tblPrEx>
        <w:trPr>
          <w:trHeight w:val="275"/>
        </w:trPr>
        <w:tc>
          <w:tcPr>
            <w:tcW w:w="851"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2410"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2551"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1344"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2008" w:type="dxa"/>
          </w:tcPr>
          <w:p>
            <w:pPr>
              <w:keepNext w:val="0"/>
              <w:keepLines w:val="0"/>
              <w:pageBreakBefore w:val="0"/>
              <w:widowControl w:val="0"/>
              <w:kinsoku/>
              <w:wordWrap/>
              <w:overflowPunct/>
              <w:topLinePunct w:val="0"/>
              <w:autoSpaceDE/>
              <w:autoSpaceDN/>
              <w:bidi w:val="0"/>
              <w:adjustRightInd/>
              <w:snapToGrid/>
              <w:textAlignment w:val="auto"/>
              <w:rPr>
                <w:sz w:val="24"/>
              </w:rPr>
            </w:pPr>
          </w:p>
        </w:tc>
      </w:tr>
    </w:tbl>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备注：</w:t>
      </w:r>
    </w:p>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1、“招标文件商务服务要求”一栏填写招标文件第二章“招标项目需求”</w:t>
      </w:r>
      <w:r>
        <w:rPr>
          <w:rFonts w:asciiTheme="minorEastAsia" w:eastAsiaTheme="minorEastAsia" w:hAnsiTheme="minorEastAsia" w:hint="eastAsia"/>
          <w:b/>
          <w:bCs/>
          <w:kern w:val="0"/>
          <w:szCs w:val="21"/>
          <w:highlight w:val="yellow"/>
        </w:rPr>
        <w:t>“五、项目商务要求”</w:t>
      </w:r>
      <w:r>
        <w:rPr>
          <w:rFonts w:asciiTheme="minorEastAsia" w:eastAsiaTheme="minorEastAsia" w:hAnsiTheme="minorEastAsia" w:hint="eastAsia"/>
          <w:bCs/>
          <w:kern w:val="0"/>
          <w:szCs w:val="21"/>
        </w:rPr>
        <w:t>的内容</w:t>
      </w:r>
      <w:r>
        <w:rPr>
          <w:rFonts w:asciiTheme="minorEastAsia" w:eastAsiaTheme="minorEastAsia" w:hAnsiTheme="minorEastAsia"/>
          <w:bCs/>
          <w:kern w:val="0"/>
          <w:szCs w:val="21"/>
        </w:rPr>
        <w:t>。</w:t>
      </w:r>
    </w:p>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2、“投标文件商务响应”一栏详细填写投标商务条款的内容</w:t>
      </w:r>
      <w:r>
        <w:rPr>
          <w:rFonts w:asciiTheme="minorEastAsia" w:eastAsiaTheme="minorEastAsia" w:hAnsiTheme="minorEastAsia"/>
          <w:bCs/>
          <w:kern w:val="0"/>
          <w:szCs w:val="21"/>
        </w:rPr>
        <w:t>。</w:t>
      </w:r>
    </w:p>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3、“偏离情况”栏中应如实填写“正偏离”、“负偏离”或“无偏离”</w:t>
      </w:r>
      <w:r>
        <w:rPr>
          <w:rFonts w:asciiTheme="minorEastAsia" w:eastAsiaTheme="minorEastAsia" w:hAnsiTheme="minorEastAsia"/>
          <w:bCs/>
          <w:kern w:val="0"/>
          <w:szCs w:val="21"/>
        </w:rPr>
        <w:t>。</w:t>
      </w:r>
    </w:p>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4、对于实质性条款，投标文件响应为“负偏离”的，投标文件将作投标无效处理</w:t>
      </w:r>
      <w:r>
        <w:rPr>
          <w:rFonts w:asciiTheme="minorEastAsia" w:eastAsiaTheme="minorEastAsia" w:hAnsiTheme="minorEastAsia"/>
          <w:bCs/>
          <w:kern w:val="0"/>
          <w:szCs w:val="21"/>
        </w:rPr>
        <w:t>。</w:t>
      </w:r>
    </w:p>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5、如招标文件要求提供证明材料的，投标文件需提供相应证明材料扫描件（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keepNext w:val="0"/>
        <w:keepLines w:val="0"/>
        <w:pageBreakBefore w:val="0"/>
        <w:widowControl w:val="0"/>
        <w:kinsoku/>
        <w:overflowPunct/>
        <w:topLinePunct w:val="0"/>
        <w:autoSpaceDE/>
        <w:autoSpaceDN/>
        <w:bidi w:val="0"/>
        <w:adjustRightInd/>
        <w:spacing w:after="156" w:afterLines="50" w:line="360" w:lineRule="auto"/>
        <w:jc w:val="center"/>
        <w:textAlignment w:val="auto"/>
        <w:rPr>
          <w:rFonts w:ascii="黑体" w:eastAsia="黑体" w:hAnsi="宋体" w:hint="eastAsia"/>
          <w:bCs/>
          <w:kern w:val="0"/>
          <w:sz w:val="24"/>
          <w:szCs w:val="24"/>
        </w:rPr>
      </w:pPr>
      <w:r>
        <w:rPr>
          <w:rFonts w:ascii="黑体" w:eastAsia="黑体" w:hAnsi="宋体" w:hint="eastAsia"/>
          <w:bCs/>
          <w:kern w:val="0"/>
          <w:sz w:val="24"/>
          <w:szCs w:val="24"/>
        </w:rPr>
        <w:t>十二、实施方案</w:t>
      </w:r>
    </w:p>
    <w:p>
      <w:pPr>
        <w:keepNext w:val="0"/>
        <w:keepLines w:val="0"/>
        <w:pageBreakBefore w:val="0"/>
        <w:widowControl w:val="0"/>
        <w:kinsoku/>
        <w:overflowPunct/>
        <w:topLinePunct w:val="0"/>
        <w:autoSpaceDE/>
        <w:autoSpaceDN/>
        <w:bidi w:val="0"/>
        <w:adjustRightInd/>
        <w:spacing w:after="156" w:afterLines="50" w:line="360" w:lineRule="auto"/>
        <w:jc w:val="center"/>
        <w:textAlignment w:val="auto"/>
        <w:rPr>
          <w:rFonts w:ascii="黑体" w:eastAsia="黑体" w:hAnsi="宋体" w:hint="eastAsia"/>
          <w:bCs/>
          <w:kern w:val="0"/>
          <w:sz w:val="24"/>
          <w:szCs w:val="24"/>
        </w:rPr>
      </w:pPr>
      <w:r>
        <w:rPr>
          <w:rFonts w:ascii="黑体" w:eastAsia="黑体" w:hAnsi="宋体" w:hint="eastAsia"/>
          <w:bCs/>
          <w:kern w:val="0"/>
          <w:sz w:val="24"/>
          <w:szCs w:val="24"/>
          <w:lang w:val="en-US" w:eastAsia="zh-CN"/>
        </w:rPr>
        <w:t>十三、</w:t>
      </w:r>
      <w:r>
        <w:rPr>
          <w:rFonts w:ascii="黑体" w:eastAsia="黑体" w:hAnsi="宋体" w:hint="eastAsia"/>
          <w:bCs/>
          <w:kern w:val="0"/>
          <w:sz w:val="24"/>
          <w:szCs w:val="24"/>
        </w:rPr>
        <w:t>项目重点难点分析、应对措施及相关的合理化建议</w:t>
      </w:r>
    </w:p>
    <w:p>
      <w:pPr>
        <w:keepNext w:val="0"/>
        <w:keepLines w:val="0"/>
        <w:pageBreakBefore w:val="0"/>
        <w:widowControl w:val="0"/>
        <w:kinsoku/>
        <w:overflowPunct/>
        <w:topLinePunct w:val="0"/>
        <w:autoSpaceDE/>
        <w:autoSpaceDN/>
        <w:bidi w:val="0"/>
        <w:adjustRightInd/>
        <w:spacing w:after="156" w:afterLines="50" w:line="360" w:lineRule="auto"/>
        <w:jc w:val="center"/>
        <w:textAlignment w:val="auto"/>
        <w:rPr>
          <w:rFonts w:ascii="黑体" w:eastAsia="黑体" w:hAnsi="宋体" w:hint="eastAsia"/>
          <w:bCs/>
          <w:kern w:val="0"/>
          <w:sz w:val="24"/>
          <w:szCs w:val="24"/>
        </w:rPr>
      </w:pPr>
      <w:r>
        <w:rPr>
          <w:rFonts w:ascii="黑体" w:eastAsia="黑体" w:hAnsi="宋体" w:hint="eastAsia"/>
          <w:bCs/>
          <w:kern w:val="0"/>
          <w:sz w:val="24"/>
          <w:szCs w:val="24"/>
          <w:lang w:val="en-US" w:eastAsia="zh-CN"/>
        </w:rPr>
        <w:t>十四、</w:t>
      </w:r>
      <w:r>
        <w:rPr>
          <w:rFonts w:ascii="黑体" w:eastAsia="黑体" w:hAnsi="宋体" w:hint="eastAsia"/>
          <w:bCs/>
          <w:kern w:val="0"/>
          <w:sz w:val="24"/>
          <w:szCs w:val="24"/>
        </w:rPr>
        <w:t>安全生产保障措施及方案</w:t>
      </w:r>
    </w:p>
    <w:p>
      <w:pPr>
        <w:keepNext w:val="0"/>
        <w:keepLines w:val="0"/>
        <w:pageBreakBefore w:val="0"/>
        <w:widowControl w:val="0"/>
        <w:kinsoku/>
        <w:overflowPunct/>
        <w:topLinePunct w:val="0"/>
        <w:autoSpaceDE/>
        <w:autoSpaceDN/>
        <w:bidi w:val="0"/>
        <w:adjustRightInd/>
        <w:spacing w:after="156" w:afterLines="50" w:line="360" w:lineRule="auto"/>
        <w:jc w:val="center"/>
        <w:textAlignment w:val="auto"/>
        <w:rPr>
          <w:rFonts w:ascii="黑体" w:eastAsia="黑体" w:hAnsi="宋体" w:hint="eastAsia"/>
          <w:bCs/>
          <w:kern w:val="0"/>
          <w:sz w:val="24"/>
          <w:szCs w:val="24"/>
        </w:rPr>
      </w:pPr>
      <w:r>
        <w:rPr>
          <w:rFonts w:ascii="黑体" w:eastAsia="黑体" w:hAnsi="宋体" w:hint="eastAsia"/>
          <w:bCs/>
          <w:kern w:val="0"/>
          <w:sz w:val="24"/>
          <w:szCs w:val="24"/>
          <w:lang w:val="en-US" w:eastAsia="zh-CN"/>
        </w:rPr>
        <w:t>十五、</w:t>
      </w:r>
      <w:r>
        <w:rPr>
          <w:rFonts w:ascii="黑体" w:eastAsia="黑体" w:hAnsi="宋体" w:hint="eastAsia"/>
          <w:bCs/>
          <w:kern w:val="0"/>
          <w:sz w:val="24"/>
          <w:szCs w:val="24"/>
        </w:rPr>
        <w:t>质量保障措施及方案</w:t>
      </w:r>
    </w:p>
    <w:p>
      <w:pPr>
        <w:keepNext w:val="0"/>
        <w:keepLines w:val="0"/>
        <w:pageBreakBefore w:val="0"/>
        <w:widowControl w:val="0"/>
        <w:kinsoku/>
        <w:overflowPunct/>
        <w:topLinePunct w:val="0"/>
        <w:autoSpaceDE/>
        <w:autoSpaceDN/>
        <w:bidi w:val="0"/>
        <w:adjustRightInd/>
        <w:spacing w:after="156" w:afterLines="50" w:line="360" w:lineRule="auto"/>
        <w:jc w:val="center"/>
        <w:textAlignment w:val="auto"/>
        <w:rPr>
          <w:rFonts w:ascii="黑体" w:eastAsia="黑体" w:hAnsi="宋体" w:hint="eastAsia"/>
          <w:bCs/>
          <w:kern w:val="0"/>
          <w:sz w:val="24"/>
          <w:szCs w:val="24"/>
        </w:rPr>
      </w:pPr>
      <w:r>
        <w:rPr>
          <w:rFonts w:ascii="黑体" w:eastAsia="黑体" w:hAnsi="宋体" w:hint="eastAsia"/>
          <w:bCs/>
          <w:kern w:val="0"/>
          <w:sz w:val="24"/>
          <w:szCs w:val="24"/>
          <w:lang w:val="en-US" w:eastAsia="zh-CN"/>
        </w:rPr>
        <w:t>十六、</w:t>
      </w:r>
      <w:r>
        <w:rPr>
          <w:rFonts w:ascii="黑体" w:eastAsia="黑体" w:hAnsi="宋体" w:hint="eastAsia"/>
          <w:bCs/>
          <w:kern w:val="0"/>
          <w:sz w:val="24"/>
          <w:szCs w:val="24"/>
        </w:rPr>
        <w:t>拟投入使用材料的品牌（节能环保情况）、档次及质量可靠性</w:t>
      </w:r>
    </w:p>
    <w:p>
      <w:pPr>
        <w:keepNext w:val="0"/>
        <w:keepLines w:val="0"/>
        <w:pageBreakBefore w:val="0"/>
        <w:widowControl w:val="0"/>
        <w:kinsoku/>
        <w:overflowPunct/>
        <w:topLinePunct w:val="0"/>
        <w:autoSpaceDE/>
        <w:autoSpaceDN/>
        <w:bidi w:val="0"/>
        <w:adjustRightInd/>
        <w:spacing w:after="156" w:afterLines="50" w:line="360" w:lineRule="auto"/>
        <w:jc w:val="center"/>
        <w:textAlignment w:val="auto"/>
        <w:rPr>
          <w:rFonts w:ascii="黑体" w:eastAsia="黑体" w:hAnsi="宋体" w:hint="eastAsia"/>
          <w:bCs/>
          <w:kern w:val="0"/>
          <w:sz w:val="24"/>
          <w:szCs w:val="24"/>
        </w:rPr>
      </w:pPr>
      <w:r>
        <w:rPr>
          <w:rFonts w:ascii="黑体" w:eastAsia="黑体" w:hAnsi="宋体" w:hint="eastAsia"/>
          <w:bCs/>
          <w:kern w:val="0"/>
          <w:sz w:val="24"/>
          <w:szCs w:val="24"/>
          <w:lang w:val="en-US" w:eastAsia="zh-CN"/>
        </w:rPr>
        <w:t>十七、</w:t>
      </w:r>
      <w:r>
        <w:rPr>
          <w:rFonts w:ascii="黑体" w:eastAsia="黑体" w:hAnsi="宋体" w:hint="eastAsia"/>
          <w:bCs/>
          <w:kern w:val="0"/>
          <w:sz w:val="24"/>
          <w:szCs w:val="24"/>
        </w:rPr>
        <w:t>拟安排的项目负责人情况（仅限一人）</w:t>
      </w:r>
    </w:p>
    <w:p>
      <w:pPr>
        <w:keepNext w:val="0"/>
        <w:keepLines w:val="0"/>
        <w:pageBreakBefore w:val="0"/>
        <w:widowControl w:val="0"/>
        <w:kinsoku/>
        <w:overflowPunct/>
        <w:topLinePunct w:val="0"/>
        <w:autoSpaceDE/>
        <w:autoSpaceDN/>
        <w:bidi w:val="0"/>
        <w:adjustRightInd/>
        <w:spacing w:after="156" w:afterLines="50" w:line="360" w:lineRule="auto"/>
        <w:jc w:val="center"/>
        <w:textAlignment w:val="auto"/>
        <w:rPr>
          <w:rFonts w:ascii="黑体" w:eastAsia="黑体" w:hAnsi="宋体" w:hint="eastAsia"/>
          <w:bCs/>
          <w:kern w:val="0"/>
          <w:sz w:val="24"/>
          <w:szCs w:val="24"/>
        </w:rPr>
      </w:pPr>
      <w:r>
        <w:rPr>
          <w:rFonts w:ascii="黑体" w:eastAsia="黑体" w:hAnsi="宋体" w:hint="eastAsia"/>
          <w:bCs/>
          <w:kern w:val="0"/>
          <w:sz w:val="24"/>
          <w:szCs w:val="24"/>
          <w:lang w:val="en-US" w:eastAsia="zh-CN"/>
        </w:rPr>
        <w:t>十八、</w:t>
      </w:r>
      <w:r>
        <w:rPr>
          <w:rFonts w:ascii="黑体" w:eastAsia="黑体" w:hAnsi="宋体" w:hint="eastAsia"/>
          <w:bCs/>
          <w:kern w:val="0"/>
          <w:sz w:val="24"/>
          <w:szCs w:val="24"/>
        </w:rPr>
        <w:t>拟安排的项目主要团队成员（主要技术人员）情况（项目负责人除外）</w:t>
      </w:r>
    </w:p>
    <w:p>
      <w:pPr>
        <w:keepNext w:val="0"/>
        <w:keepLines w:val="0"/>
        <w:pageBreakBefore w:val="0"/>
        <w:widowControl w:val="0"/>
        <w:kinsoku/>
        <w:overflowPunct/>
        <w:topLinePunct w:val="0"/>
        <w:autoSpaceDE/>
        <w:autoSpaceDN/>
        <w:bidi w:val="0"/>
        <w:adjustRightInd/>
        <w:spacing w:after="156" w:afterLines="50" w:line="360" w:lineRule="auto"/>
        <w:jc w:val="center"/>
        <w:textAlignment w:val="auto"/>
        <w:rPr>
          <w:rFonts w:ascii="黑体" w:eastAsia="黑体" w:hAnsi="宋体" w:hint="eastAsia"/>
          <w:bCs/>
          <w:kern w:val="0"/>
          <w:sz w:val="24"/>
          <w:szCs w:val="24"/>
        </w:rPr>
      </w:pPr>
      <w:r>
        <w:rPr>
          <w:rFonts w:ascii="黑体" w:eastAsia="黑体" w:hAnsi="宋体" w:hint="eastAsia"/>
          <w:bCs/>
          <w:kern w:val="0"/>
          <w:sz w:val="24"/>
          <w:szCs w:val="24"/>
          <w:lang w:val="en-US" w:eastAsia="zh-CN"/>
        </w:rPr>
        <w:t>十九、</w:t>
      </w:r>
      <w:r>
        <w:rPr>
          <w:rFonts w:ascii="黑体" w:eastAsia="黑体" w:hAnsi="宋体" w:hint="eastAsia"/>
          <w:bCs/>
          <w:kern w:val="0"/>
          <w:sz w:val="24"/>
          <w:szCs w:val="24"/>
        </w:rPr>
        <w:t>项目拟投入的发电车情况</w:t>
      </w:r>
    </w:p>
    <w:p>
      <w:pPr>
        <w:keepNext w:val="0"/>
        <w:keepLines w:val="0"/>
        <w:pageBreakBefore w:val="0"/>
        <w:widowControl w:val="0"/>
        <w:kinsoku/>
        <w:overflowPunct/>
        <w:topLinePunct w:val="0"/>
        <w:autoSpaceDE/>
        <w:autoSpaceDN/>
        <w:bidi w:val="0"/>
        <w:adjustRightInd/>
        <w:spacing w:after="156" w:afterLines="50" w:line="360" w:lineRule="auto"/>
        <w:jc w:val="center"/>
        <w:textAlignment w:val="auto"/>
        <w:rPr>
          <w:rFonts w:ascii="黑体" w:eastAsia="黑体" w:hAnsi="宋体" w:hint="eastAsia"/>
          <w:bCs/>
          <w:kern w:val="0"/>
          <w:sz w:val="24"/>
          <w:szCs w:val="24"/>
        </w:rPr>
      </w:pPr>
      <w:r>
        <w:rPr>
          <w:rFonts w:ascii="黑体" w:eastAsia="黑体" w:hAnsi="宋体" w:hint="eastAsia"/>
          <w:bCs/>
          <w:kern w:val="0"/>
          <w:sz w:val="24"/>
          <w:szCs w:val="24"/>
          <w:lang w:val="en-US" w:eastAsia="zh-CN"/>
        </w:rPr>
        <w:t>二十、</w:t>
      </w:r>
      <w:r>
        <w:rPr>
          <w:rFonts w:ascii="黑体" w:eastAsia="黑体" w:hAnsi="宋体" w:hint="eastAsia"/>
          <w:bCs/>
          <w:kern w:val="0"/>
          <w:sz w:val="24"/>
          <w:szCs w:val="24"/>
        </w:rPr>
        <w:t>项目拟投入的维护设备情况</w:t>
      </w:r>
    </w:p>
    <w:p>
      <w:pPr>
        <w:keepNext w:val="0"/>
        <w:keepLines w:val="0"/>
        <w:pageBreakBefore w:val="0"/>
        <w:widowControl w:val="0"/>
        <w:kinsoku/>
        <w:overflowPunct/>
        <w:topLinePunct w:val="0"/>
        <w:autoSpaceDE/>
        <w:autoSpaceDN/>
        <w:bidi w:val="0"/>
        <w:adjustRightInd/>
        <w:spacing w:after="156" w:afterLines="50" w:line="360" w:lineRule="auto"/>
        <w:jc w:val="center"/>
        <w:textAlignment w:val="auto"/>
        <w:rPr>
          <w:rFonts w:ascii="黑体" w:eastAsia="黑体" w:hAnsi="宋体" w:hint="eastAsia"/>
          <w:bCs/>
          <w:kern w:val="0"/>
          <w:sz w:val="24"/>
          <w:szCs w:val="24"/>
        </w:rPr>
      </w:pPr>
      <w:r>
        <w:rPr>
          <w:rFonts w:ascii="黑体" w:eastAsia="黑体" w:hAnsi="宋体" w:hint="eastAsia"/>
          <w:bCs/>
          <w:kern w:val="0"/>
          <w:sz w:val="24"/>
          <w:szCs w:val="24"/>
          <w:lang w:val="en-US" w:eastAsia="zh-CN"/>
        </w:rPr>
        <w:t>二十一、</w:t>
      </w:r>
      <w:r>
        <w:rPr>
          <w:rFonts w:ascii="黑体" w:eastAsia="黑体" w:hAnsi="宋体" w:hint="eastAsia"/>
          <w:bCs/>
          <w:kern w:val="0"/>
          <w:sz w:val="24"/>
          <w:szCs w:val="24"/>
        </w:rPr>
        <w:t>认证情况</w:t>
      </w:r>
    </w:p>
    <w:p>
      <w:pPr>
        <w:keepNext w:val="0"/>
        <w:keepLines w:val="0"/>
        <w:pageBreakBefore w:val="0"/>
        <w:widowControl w:val="0"/>
        <w:kinsoku/>
        <w:overflowPunct/>
        <w:topLinePunct w:val="0"/>
        <w:autoSpaceDE/>
        <w:autoSpaceDN/>
        <w:bidi w:val="0"/>
        <w:adjustRightInd/>
        <w:spacing w:after="156" w:afterLines="50" w:line="360" w:lineRule="auto"/>
        <w:jc w:val="center"/>
        <w:textAlignment w:val="auto"/>
        <w:rPr>
          <w:rFonts w:ascii="黑体" w:eastAsia="黑体" w:hAnsi="宋体" w:hint="eastAsia"/>
          <w:bCs/>
          <w:kern w:val="0"/>
          <w:sz w:val="24"/>
          <w:szCs w:val="24"/>
        </w:rPr>
      </w:pPr>
      <w:r>
        <w:rPr>
          <w:rFonts w:ascii="黑体" w:eastAsia="黑体" w:hAnsi="宋体" w:hint="eastAsia"/>
          <w:bCs/>
          <w:kern w:val="0"/>
          <w:sz w:val="24"/>
          <w:szCs w:val="24"/>
          <w:lang w:val="en-US" w:eastAsia="zh-CN"/>
        </w:rPr>
        <w:t>二十二、</w:t>
      </w:r>
      <w:r>
        <w:rPr>
          <w:rFonts w:ascii="黑体" w:eastAsia="黑体" w:hAnsi="宋体" w:hint="eastAsia"/>
          <w:bCs/>
          <w:kern w:val="0"/>
          <w:sz w:val="24"/>
          <w:szCs w:val="24"/>
        </w:rPr>
        <w:t>同类项目业绩情况</w:t>
      </w:r>
    </w:p>
    <w:p>
      <w:pPr>
        <w:keepNext w:val="0"/>
        <w:keepLines w:val="0"/>
        <w:pageBreakBefore w:val="0"/>
        <w:widowControl w:val="0"/>
        <w:kinsoku/>
        <w:overflowPunct/>
        <w:topLinePunct w:val="0"/>
        <w:autoSpaceDE/>
        <w:autoSpaceDN/>
        <w:bidi w:val="0"/>
        <w:adjustRightInd/>
        <w:spacing w:after="156" w:afterLines="50" w:line="360" w:lineRule="auto"/>
        <w:jc w:val="center"/>
        <w:textAlignment w:val="auto"/>
        <w:rPr>
          <w:rFonts w:ascii="黑体" w:eastAsia="黑体" w:hAnsi="宋体" w:hint="eastAsia"/>
          <w:bCs/>
          <w:kern w:val="0"/>
          <w:sz w:val="24"/>
          <w:szCs w:val="24"/>
        </w:rPr>
      </w:pPr>
      <w:r>
        <w:rPr>
          <w:rFonts w:ascii="黑体" w:eastAsia="黑体" w:hAnsi="宋体" w:hint="eastAsia"/>
          <w:bCs/>
          <w:kern w:val="0"/>
          <w:sz w:val="24"/>
          <w:szCs w:val="24"/>
          <w:lang w:val="en-US" w:eastAsia="zh-CN"/>
        </w:rPr>
        <w:t>二十三、</w:t>
      </w:r>
      <w:r>
        <w:rPr>
          <w:rFonts w:ascii="黑体" w:eastAsia="黑体" w:hAnsi="宋体" w:hint="eastAsia"/>
          <w:bCs/>
          <w:kern w:val="0"/>
          <w:sz w:val="24"/>
          <w:szCs w:val="24"/>
        </w:rPr>
        <w:t>获奖情况</w:t>
      </w:r>
    </w:p>
    <w:p>
      <w:pPr>
        <w:keepNext w:val="0"/>
        <w:keepLines w:val="0"/>
        <w:pageBreakBefore w:val="0"/>
        <w:widowControl w:val="0"/>
        <w:kinsoku/>
        <w:overflowPunct/>
        <w:topLinePunct w:val="0"/>
        <w:autoSpaceDE/>
        <w:autoSpaceDN/>
        <w:bidi w:val="0"/>
        <w:adjustRightInd/>
        <w:spacing w:after="156" w:afterLines="50" w:line="360" w:lineRule="auto"/>
        <w:jc w:val="center"/>
        <w:textAlignment w:val="auto"/>
        <w:rPr>
          <w:rFonts w:ascii="黑体" w:eastAsia="黑体" w:hAnsi="宋体" w:hint="eastAsia"/>
          <w:bCs/>
          <w:kern w:val="0"/>
          <w:sz w:val="24"/>
          <w:szCs w:val="24"/>
        </w:rPr>
      </w:pPr>
      <w:r>
        <w:rPr>
          <w:rFonts w:ascii="黑体" w:eastAsia="黑体" w:hAnsi="宋体" w:hint="eastAsia"/>
          <w:bCs/>
          <w:kern w:val="0"/>
          <w:sz w:val="24"/>
          <w:szCs w:val="24"/>
          <w:lang w:val="en-US" w:eastAsia="zh-CN"/>
        </w:rPr>
        <w:t>二十四、</w:t>
      </w:r>
      <w:r>
        <w:rPr>
          <w:rFonts w:ascii="黑体" w:eastAsia="黑体" w:hAnsi="宋体" w:hint="eastAsia"/>
          <w:bCs/>
          <w:kern w:val="0"/>
          <w:sz w:val="24"/>
          <w:szCs w:val="24"/>
        </w:rPr>
        <w:t>投标人自主知识产权产品及标准制定情况</w:t>
      </w:r>
    </w:p>
    <w:p>
      <w:pPr>
        <w:keepNext w:val="0"/>
        <w:keepLines w:val="0"/>
        <w:pageBreakBefore w:val="0"/>
        <w:widowControl w:val="0"/>
        <w:kinsoku/>
        <w:overflowPunct/>
        <w:topLinePunct w:val="0"/>
        <w:autoSpaceDE/>
        <w:autoSpaceDN/>
        <w:bidi w:val="0"/>
        <w:adjustRightInd/>
        <w:spacing w:after="156" w:afterLines="50" w:line="360" w:lineRule="auto"/>
        <w:jc w:val="center"/>
        <w:textAlignment w:val="auto"/>
        <w:rPr>
          <w:rFonts w:ascii="黑体" w:eastAsia="黑体" w:hAnsi="宋体" w:hint="eastAsia"/>
          <w:bCs/>
          <w:kern w:val="0"/>
          <w:sz w:val="24"/>
          <w:szCs w:val="24"/>
        </w:rPr>
      </w:pPr>
      <w:r>
        <w:rPr>
          <w:rFonts w:ascii="黑体" w:eastAsia="黑体" w:hAnsi="宋体" w:hint="eastAsia"/>
          <w:bCs/>
          <w:kern w:val="0"/>
          <w:sz w:val="24"/>
          <w:szCs w:val="24"/>
          <w:lang w:val="en-US" w:eastAsia="zh-CN"/>
        </w:rPr>
        <w:t>二十五、</w:t>
      </w:r>
      <w:r>
        <w:rPr>
          <w:rFonts w:ascii="黑体" w:eastAsia="黑体" w:hAnsi="宋体" w:hint="eastAsia"/>
          <w:bCs/>
          <w:kern w:val="0"/>
          <w:sz w:val="24"/>
          <w:szCs w:val="24"/>
        </w:rPr>
        <w:t>诚信评审</w:t>
      </w:r>
    </w:p>
    <w:p>
      <w:pPr>
        <w:keepNext w:val="0"/>
        <w:keepLines w:val="0"/>
        <w:pageBreakBefore w:val="0"/>
        <w:widowControl w:val="0"/>
        <w:kinsoku/>
        <w:overflowPunct/>
        <w:topLinePunct w:val="0"/>
        <w:autoSpaceDE/>
        <w:autoSpaceDN/>
        <w:bidi w:val="0"/>
        <w:adjustRightInd/>
        <w:spacing w:line="360" w:lineRule="auto"/>
        <w:jc w:val="center"/>
        <w:textAlignment w:val="auto"/>
        <w:rPr>
          <w:rFonts w:ascii="黑体" w:eastAsia="黑体" w:hAnsi="宋体"/>
          <w:bCs/>
          <w:kern w:val="0"/>
          <w:sz w:val="24"/>
          <w:szCs w:val="24"/>
        </w:rPr>
      </w:pPr>
      <w:r>
        <w:rPr>
          <w:rFonts w:ascii="黑体" w:eastAsia="黑体" w:hAnsi="宋体" w:hint="eastAsia"/>
          <w:bCs/>
          <w:kern w:val="0"/>
          <w:sz w:val="24"/>
          <w:szCs w:val="24"/>
          <w:lang w:val="en-US" w:eastAsia="zh-CN"/>
        </w:rPr>
        <w:t>二十六</w:t>
      </w:r>
      <w:r>
        <w:rPr>
          <w:rFonts w:ascii="黑体" w:eastAsia="黑体" w:hAnsi="宋体" w:hint="eastAsia"/>
          <w:bCs/>
          <w:kern w:val="0"/>
          <w:sz w:val="24"/>
          <w:szCs w:val="24"/>
        </w:rPr>
        <w:t>、招标文件要求的其它内容或投标人认为需要补充的资料（格式自定）</w:t>
      </w:r>
    </w:p>
    <w:p>
      <w:pPr>
        <w:keepNext w:val="0"/>
        <w:keepLines w:val="0"/>
        <w:pageBreakBefore w:val="0"/>
        <w:widowControl w:val="0"/>
        <w:kinsoku/>
        <w:overflowPunct/>
        <w:topLinePunct w:val="0"/>
        <w:autoSpaceDE/>
        <w:autoSpaceDN/>
        <w:bidi w:val="0"/>
        <w:adjustRightInd/>
        <w:snapToGrid w:val="0"/>
        <w:spacing w:line="360" w:lineRule="auto"/>
        <w:jc w:val="left"/>
        <w:textAlignment w:val="auto"/>
        <w:outlineLvl w:val="4"/>
        <w:rPr>
          <w:rFonts w:ascii="黑体" w:eastAsia="黑体" w:hAnsi="宋体"/>
          <w:bCs/>
          <w:kern w:val="0"/>
          <w:sz w:val="24"/>
          <w:szCs w:val="24"/>
        </w:rPr>
      </w:pPr>
    </w:p>
    <w:p>
      <w:pPr>
        <w:keepNext w:val="0"/>
        <w:keepLines w:val="0"/>
        <w:pageBreakBefore w:val="0"/>
        <w:widowControl w:val="0"/>
        <w:kinsoku/>
        <w:overflowPunct/>
        <w:topLinePunct w:val="0"/>
        <w:autoSpaceDE/>
        <w:autoSpaceDN/>
        <w:bidi w:val="0"/>
        <w:adjustRightInd/>
        <w:snapToGrid w:val="0"/>
        <w:spacing w:line="360" w:lineRule="auto"/>
        <w:jc w:val="left"/>
        <w:textAlignment w:val="auto"/>
        <w:outlineLvl w:val="4"/>
        <w:rPr>
          <w:rFonts w:ascii="仿宋" w:eastAsia="仿宋" w:hAnsi="仿宋"/>
          <w:b/>
          <w:bCs/>
          <w:color w:val="FF0000"/>
          <w:kern w:val="0"/>
          <w:sz w:val="25"/>
          <w:szCs w:val="25"/>
        </w:rPr>
      </w:pPr>
      <w:r>
        <w:rPr>
          <w:rFonts w:ascii="仿宋" w:eastAsia="仿宋" w:hAnsi="仿宋" w:hint="eastAsia"/>
          <w:b/>
          <w:bCs/>
          <w:color w:val="FF0000"/>
          <w:kern w:val="0"/>
          <w:sz w:val="25"/>
          <w:szCs w:val="25"/>
        </w:rPr>
        <w:t>特别提醒：</w:t>
      </w:r>
    </w:p>
    <w:p>
      <w:pPr>
        <w:keepNext w:val="0"/>
        <w:keepLines w:val="0"/>
        <w:pageBreakBefore w:val="0"/>
        <w:widowControl w:val="0"/>
        <w:kinsoku/>
        <w:overflowPunct/>
        <w:topLinePunct w:val="0"/>
        <w:autoSpaceDE/>
        <w:autoSpaceDN/>
        <w:bidi w:val="0"/>
        <w:adjustRightInd/>
        <w:snapToGrid w:val="0"/>
        <w:spacing w:line="360" w:lineRule="auto"/>
        <w:jc w:val="left"/>
        <w:textAlignment w:val="auto"/>
        <w:rPr>
          <w:rFonts w:ascii="宋体" w:hAnsi="宋体"/>
          <w:color w:val="FF0000"/>
          <w:szCs w:val="21"/>
        </w:rPr>
      </w:pPr>
      <w:r>
        <w:rPr>
          <w:rFonts w:ascii="仿宋" w:eastAsia="仿宋" w:hAnsi="仿宋" w:hint="eastAsia"/>
          <w:color w:val="FF0000"/>
          <w:kern w:val="0"/>
          <w:sz w:val="25"/>
          <w:szCs w:val="25"/>
        </w:rPr>
        <w:t xml:space="preserve">  </w:t>
      </w:r>
      <w:r>
        <w:rPr>
          <w:rFonts w:asciiTheme="minorEastAsia" w:eastAsiaTheme="minorEastAsia" w:hAnsiTheme="minorEastAsia" w:hint="eastAsia"/>
          <w:color w:val="FF0000"/>
          <w:kern w:val="0"/>
          <w:szCs w:val="21"/>
        </w:rPr>
        <w:t xml:space="preserve">  《深圳经济特区政府采购条例实施细则》</w:t>
      </w:r>
      <w:r>
        <w:rPr>
          <w:rFonts w:ascii="宋体" w:hAnsi="宋体" w:hint="eastAsia"/>
          <w:color w:val="FF0000"/>
          <w:szCs w:val="21"/>
        </w:rPr>
        <w:t>第七十九条规定：供应商有下列情形的，属于采购条例所称的串通投标行为。</w:t>
      </w:r>
    </w:p>
    <w:p>
      <w:pPr>
        <w:keepNext w:val="0"/>
        <w:keepLines w:val="0"/>
        <w:pageBreakBefore w:val="0"/>
        <w:widowControl w:val="0"/>
        <w:kinsoku/>
        <w:overflowPunct/>
        <w:topLinePunct w:val="0"/>
        <w:autoSpaceDE/>
        <w:autoSpaceDN/>
        <w:bidi w:val="0"/>
        <w:adjustRightInd/>
        <w:snapToGrid w:val="0"/>
        <w:spacing w:line="360" w:lineRule="auto"/>
        <w:ind w:firstLine="424" w:firstLineChars="202"/>
        <w:jc w:val="left"/>
        <w:textAlignment w:val="auto"/>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（一）投标供应商之间相互约定给予未中标的供应商利益补偿；</w:t>
      </w:r>
    </w:p>
    <w:p>
      <w:pPr>
        <w:keepNext w:val="0"/>
        <w:keepLines w:val="0"/>
        <w:pageBreakBefore w:val="0"/>
        <w:widowControl w:val="0"/>
        <w:kinsoku/>
        <w:overflowPunct/>
        <w:topLinePunct w:val="0"/>
        <w:autoSpaceDE/>
        <w:autoSpaceDN/>
        <w:bidi w:val="0"/>
        <w:adjustRightInd/>
        <w:snapToGrid w:val="0"/>
        <w:spacing w:line="360" w:lineRule="auto"/>
        <w:ind w:firstLine="424" w:firstLineChars="202"/>
        <w:jc w:val="left"/>
        <w:textAlignment w:val="auto"/>
        <w:rPr>
          <w:rFonts w:asciiTheme="minorEastAsia" w:eastAsiaTheme="minorEastAsia" w:hAnsiTheme="minorEastAsia"/>
          <w:b/>
          <w:color w:val="FF0000"/>
          <w:kern w:val="0"/>
          <w:szCs w:val="21"/>
        </w:rPr>
      </w:pPr>
      <w:r>
        <w:rPr>
          <w:rFonts w:asciiTheme="minorEastAsia" w:eastAsiaTheme="minorEastAsia" w:hAnsiTheme="minorEastAsia" w:hint="eastAsia"/>
          <w:b/>
          <w:color w:val="FF0000"/>
          <w:kern w:val="0"/>
          <w:szCs w:val="21"/>
        </w:rPr>
        <w:t>（二）不同投标供应商的法定代表人、主要经营负责人、项目投标授权代表人、项目负责人、主要技术人员为同一人、属同一单位或者在同一单位缴纳社会保险；</w:t>
      </w:r>
    </w:p>
    <w:p>
      <w:pPr>
        <w:keepNext w:val="0"/>
        <w:keepLines w:val="0"/>
        <w:pageBreakBefore w:val="0"/>
        <w:widowControl w:val="0"/>
        <w:kinsoku/>
        <w:overflowPunct/>
        <w:topLinePunct w:val="0"/>
        <w:autoSpaceDE/>
        <w:autoSpaceDN/>
        <w:bidi w:val="0"/>
        <w:adjustRightInd/>
        <w:snapToGrid w:val="0"/>
        <w:spacing w:line="360" w:lineRule="auto"/>
        <w:ind w:firstLine="424" w:firstLineChars="202"/>
        <w:jc w:val="left"/>
        <w:textAlignment w:val="auto"/>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（三）不同投标供应商的投标文件由同一单位或者同一人编制，或者由同一人分阶段参与编制的；</w:t>
      </w:r>
    </w:p>
    <w:p>
      <w:pPr>
        <w:keepNext w:val="0"/>
        <w:keepLines w:val="0"/>
        <w:pageBreakBefore w:val="0"/>
        <w:widowControl w:val="0"/>
        <w:kinsoku/>
        <w:overflowPunct/>
        <w:topLinePunct w:val="0"/>
        <w:autoSpaceDE/>
        <w:autoSpaceDN/>
        <w:bidi w:val="0"/>
        <w:adjustRightInd/>
        <w:snapToGrid w:val="0"/>
        <w:spacing w:line="360" w:lineRule="auto"/>
        <w:ind w:firstLine="424" w:firstLineChars="202"/>
        <w:jc w:val="left"/>
        <w:textAlignment w:val="auto"/>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（四）不同投标供应商的投标文件或部分投标文件相互混装；</w:t>
      </w:r>
    </w:p>
    <w:p>
      <w:pPr>
        <w:keepNext w:val="0"/>
        <w:keepLines w:val="0"/>
        <w:pageBreakBefore w:val="0"/>
        <w:widowControl w:val="0"/>
        <w:kinsoku/>
        <w:overflowPunct/>
        <w:topLinePunct w:val="0"/>
        <w:autoSpaceDE/>
        <w:autoSpaceDN/>
        <w:bidi w:val="0"/>
        <w:adjustRightInd/>
        <w:snapToGrid w:val="0"/>
        <w:spacing w:line="360" w:lineRule="auto"/>
        <w:ind w:firstLine="424" w:firstLineChars="202"/>
        <w:jc w:val="left"/>
        <w:textAlignment w:val="auto"/>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（五）不同投标供应商的投标文件内容存在非正常一致；</w:t>
      </w:r>
    </w:p>
    <w:p>
      <w:pPr>
        <w:keepNext w:val="0"/>
        <w:keepLines w:val="0"/>
        <w:pageBreakBefore w:val="0"/>
        <w:widowControl w:val="0"/>
        <w:kinsoku/>
        <w:overflowPunct/>
        <w:topLinePunct w:val="0"/>
        <w:autoSpaceDE/>
        <w:autoSpaceDN/>
        <w:bidi w:val="0"/>
        <w:adjustRightInd/>
        <w:snapToGrid w:val="0"/>
        <w:spacing w:line="360" w:lineRule="auto"/>
        <w:ind w:firstLine="424" w:firstLineChars="202"/>
        <w:jc w:val="left"/>
        <w:textAlignment w:val="auto"/>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（六）由同一单位工作人员为两家以上（含两家）供应商进行同一项投标活动的；</w:t>
      </w:r>
    </w:p>
    <w:p>
      <w:pPr>
        <w:keepNext w:val="0"/>
        <w:keepLines w:val="0"/>
        <w:pageBreakBefore w:val="0"/>
        <w:widowControl w:val="0"/>
        <w:kinsoku/>
        <w:overflowPunct/>
        <w:topLinePunct w:val="0"/>
        <w:autoSpaceDE/>
        <w:autoSpaceDN/>
        <w:bidi w:val="0"/>
        <w:adjustRightInd/>
        <w:snapToGrid w:val="0"/>
        <w:spacing w:line="360" w:lineRule="auto"/>
        <w:ind w:firstLine="424" w:firstLineChars="202"/>
        <w:jc w:val="left"/>
        <w:textAlignment w:val="auto"/>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（七）主管部门依照法律、法规认定的其他情形。</w:t>
      </w:r>
    </w:p>
    <w:p>
      <w:pPr>
        <w:keepNext w:val="0"/>
        <w:keepLines w:val="0"/>
        <w:pageBreakBefore w:val="0"/>
        <w:widowControl w:val="0"/>
        <w:kinsoku/>
        <w:overflowPunct/>
        <w:topLinePunct w:val="0"/>
        <w:autoSpaceDE/>
        <w:autoSpaceDN/>
        <w:bidi w:val="0"/>
        <w:adjustRightInd/>
        <w:snapToGrid w:val="0"/>
        <w:spacing w:line="360" w:lineRule="auto"/>
        <w:jc w:val="left"/>
        <w:textAlignment w:val="auto"/>
        <w:rPr>
          <w:rFonts w:asciiTheme="minorEastAsia" w:eastAsiaTheme="minorEastAsia" w:hAnsiTheme="minorEastAsia"/>
          <w:color w:val="FF0000"/>
          <w:kern w:val="0"/>
          <w:szCs w:val="21"/>
        </w:rPr>
      </w:pPr>
    </w:p>
    <w:p>
      <w:pPr>
        <w:keepNext w:val="0"/>
        <w:keepLines w:val="0"/>
        <w:pageBreakBefore w:val="0"/>
        <w:widowControl w:val="0"/>
        <w:kinsoku/>
        <w:overflowPunct/>
        <w:topLinePunct w:val="0"/>
        <w:autoSpaceDE/>
        <w:autoSpaceDN/>
        <w:bidi w:val="0"/>
        <w:adjustRightInd/>
        <w:snapToGrid w:val="0"/>
        <w:spacing w:line="360" w:lineRule="auto"/>
        <w:jc w:val="left"/>
        <w:textAlignment w:val="auto"/>
        <w:rPr>
          <w:rFonts w:asciiTheme="minorEastAsia" w:eastAsiaTheme="minorEastAsia" w:hAnsiTheme="minorEastAsia"/>
          <w:b/>
          <w:color w:val="FF0000"/>
          <w:kern w:val="0"/>
          <w:szCs w:val="21"/>
        </w:rPr>
      </w:pPr>
      <w:r>
        <w:rPr>
          <w:rFonts w:asciiTheme="minorEastAsia" w:eastAsiaTheme="minorEastAsia" w:hAnsiTheme="minorEastAsia" w:hint="eastAsia"/>
          <w:b/>
          <w:color w:val="FF0000"/>
          <w:kern w:val="0"/>
          <w:szCs w:val="21"/>
        </w:rPr>
        <w:t>投标人提供以下资料（格式自拟）：</w:t>
      </w:r>
    </w:p>
    <w:p>
      <w:pPr>
        <w:keepNext w:val="0"/>
        <w:keepLines w:val="0"/>
        <w:pageBreakBefore w:val="0"/>
        <w:widowControl w:val="0"/>
        <w:kinsoku/>
        <w:overflowPunct/>
        <w:topLinePunct w:val="0"/>
        <w:autoSpaceDE/>
        <w:autoSpaceDN/>
        <w:bidi w:val="0"/>
        <w:adjustRightInd/>
        <w:snapToGrid w:val="0"/>
        <w:spacing w:line="360" w:lineRule="auto"/>
        <w:ind w:firstLine="424" w:firstLineChars="202"/>
        <w:jc w:val="left"/>
        <w:textAlignment w:val="auto"/>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原因暂时无法提供社保证明的，需提供加盖公章的情况说明或者证明材料。）</w:t>
      </w:r>
    </w:p>
    <w:p>
      <w:pPr>
        <w:keepNext w:val="0"/>
        <w:keepLines w:val="0"/>
        <w:pageBreakBefore w:val="0"/>
        <w:widowControl w:val="0"/>
        <w:kinsoku/>
        <w:overflowPunct/>
        <w:topLinePunct w:val="0"/>
        <w:autoSpaceDE/>
        <w:autoSpaceDN/>
        <w:bidi w:val="0"/>
        <w:adjustRightInd/>
        <w:snapToGrid w:val="0"/>
        <w:spacing w:line="360" w:lineRule="auto"/>
        <w:ind w:firstLine="424" w:firstLineChars="202"/>
        <w:jc w:val="left"/>
        <w:textAlignment w:val="auto"/>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2、其他招标文件要求提供的资料或投标人认为需要补充的资料。</w:t>
      </w:r>
    </w:p>
    <w:p>
      <w:pPr>
        <w:widowControl/>
        <w:jc w:val="left"/>
        <w:rPr>
          <w:rFonts w:ascii="黑体" w:eastAsia="黑体" w:hAnsi="宋体"/>
          <w:bCs/>
          <w:kern w:val="0"/>
          <w:sz w:val="24"/>
          <w:szCs w:val="24"/>
        </w:rPr>
      </w:pPr>
    </w:p>
    <w:p>
      <w:pPr>
        <w:widowControl/>
        <w:jc w:val="left"/>
        <w:rPr>
          <w:rFonts w:ascii="黑体" w:eastAsia="黑体" w:hAnsi="宋体"/>
          <w:bCs/>
          <w:kern w:val="0"/>
          <w:sz w:val="24"/>
          <w:szCs w:val="24"/>
        </w:rPr>
      </w:pPr>
    </w:p>
    <w:p>
      <w:pPr>
        <w:widowControl/>
        <w:jc w:val="left"/>
        <w:rPr>
          <w:rFonts w:ascii="宋体" w:hAnsi="宋体"/>
          <w:b/>
          <w:bCs/>
          <w:kern w:val="0"/>
          <w:sz w:val="24"/>
          <w:szCs w:val="20"/>
        </w:rPr>
      </w:pPr>
      <w:r>
        <w:rPr>
          <w:rFonts w:ascii="宋体" w:hAnsi="宋体"/>
          <w:b/>
          <w:bCs/>
          <w:kern w:val="0"/>
          <w:sz w:val="24"/>
          <w:szCs w:val="20"/>
        </w:rPr>
        <w:br w:type="page"/>
      </w:r>
    </w:p>
    <w:p>
      <w:pPr>
        <w:jc w:val="center"/>
        <w:rPr>
          <w:rFonts w:ascii="宋体" w:hAnsi="宋体"/>
          <w:b/>
          <w:bCs/>
          <w:kern w:val="0"/>
          <w:sz w:val="24"/>
          <w:szCs w:val="20"/>
        </w:rPr>
      </w:pPr>
      <w:r>
        <w:rPr>
          <w:rFonts w:ascii="宋体" w:hAnsi="宋体" w:hint="eastAsia"/>
          <w:b/>
          <w:bCs/>
          <w:kern w:val="0"/>
          <w:sz w:val="24"/>
          <w:szCs w:val="20"/>
        </w:rPr>
        <w:t>第四章  合同及履约情况反馈格式</w:t>
      </w:r>
    </w:p>
    <w:p>
      <w:pPr>
        <w:ind w:firstLine="412" w:firstLineChars="196"/>
        <w:rPr>
          <w:rFonts w:ascii="Times New Roman" w:hAnsi="Times New Roman"/>
          <w:szCs w:val="24"/>
        </w:rPr>
      </w:pPr>
    </w:p>
    <w:p>
      <w:pPr>
        <w:keepNext/>
        <w:keepLines/>
        <w:spacing w:before="260" w:after="260"/>
        <w:jc w:val="center"/>
        <w:outlineLvl w:val="2"/>
        <w:rPr>
          <w:rFonts w:ascii="黑体" w:eastAsia="黑体" w:hAnsi="宋体"/>
          <w:bCs/>
          <w:kern w:val="0"/>
          <w:sz w:val="24"/>
          <w:szCs w:val="24"/>
        </w:rPr>
      </w:pPr>
      <w:r>
        <w:rPr>
          <w:rFonts w:ascii="黑体" w:eastAsia="黑体" w:hAnsi="宋体" w:hint="eastAsia"/>
          <w:bCs/>
          <w:kern w:val="0"/>
          <w:sz w:val="24"/>
          <w:szCs w:val="24"/>
        </w:rPr>
        <w:t>一、合同条款及格式（</w:t>
      </w:r>
      <w:r>
        <w:rPr>
          <w:rFonts w:ascii="黑体" w:eastAsia="黑体" w:hint="eastAsia"/>
          <w:kern w:val="0"/>
          <w:sz w:val="24"/>
          <w:szCs w:val="24"/>
        </w:rPr>
        <w:t>仅供参考</w:t>
      </w:r>
      <w:r>
        <w:rPr>
          <w:rFonts w:ascii="黑体" w:eastAsia="黑体" w:hAnsi="宋体" w:hint="eastAsia"/>
          <w:bCs/>
          <w:kern w:val="0"/>
          <w:sz w:val="24"/>
          <w:szCs w:val="24"/>
        </w:rPr>
        <w:t>）</w:t>
      </w:r>
    </w:p>
    <w:p>
      <w:pPr>
        <w:ind w:firstLine="412" w:firstLineChars="196"/>
        <w:jc w:val="center"/>
        <w:rPr>
          <w:rFonts w:ascii="Times New Roman" w:hAnsi="Times New Roman"/>
          <w:sz w:val="24"/>
          <w:szCs w:val="24"/>
        </w:rPr>
      </w:pPr>
      <w:bookmarkStart w:id="15" w:name="_Toc84303603"/>
      <w:bookmarkStart w:id="16" w:name="_Toc73521592"/>
      <w:bookmarkStart w:id="17" w:name="_Toc73521680"/>
      <w:bookmarkStart w:id="18" w:name="_Toc73517685"/>
      <w:bookmarkStart w:id="19" w:name="_Toc101074886"/>
      <w:bookmarkStart w:id="20" w:name="_Toc100052414"/>
      <w:bookmarkStart w:id="21" w:name="_Toc73518163"/>
    </w:p>
    <w:p>
      <w:pPr>
        <w:ind w:firstLine="412" w:firstLineChars="196"/>
        <w:jc w:val="center"/>
        <w:rPr>
          <w:rFonts w:ascii="Times New Roman" w:hAnsi="Times New Roman"/>
          <w:sz w:val="24"/>
          <w:szCs w:val="24"/>
        </w:rPr>
      </w:pPr>
    </w:p>
    <w:p>
      <w:pPr>
        <w:adjustRightInd w:val="0"/>
        <w:snapToGrid w:val="0"/>
        <w:spacing w:after="60" w:line="360" w:lineRule="auto"/>
        <w:jc w:val="center"/>
        <w:rPr>
          <w:b/>
          <w:snapToGrid w:val="0"/>
          <w:kern w:val="0"/>
          <w:sz w:val="24"/>
        </w:rPr>
      </w:pPr>
      <w:bookmarkEnd w:id="15"/>
      <w:bookmarkEnd w:id="16"/>
      <w:bookmarkEnd w:id="17"/>
      <w:bookmarkEnd w:id="18"/>
      <w:bookmarkEnd w:id="19"/>
      <w:bookmarkEnd w:id="20"/>
      <w:bookmarkEnd w:id="21"/>
      <w:r>
        <w:rPr>
          <w:rFonts w:hint="eastAsia"/>
          <w:b/>
          <w:snapToGrid w:val="0"/>
          <w:kern w:val="0"/>
          <w:sz w:val="24"/>
        </w:rPr>
        <w:t>（拟签订的合同文本）</w:t>
      </w:r>
    </w:p>
    <w:p>
      <w:pPr>
        <w:pStyle w:val="PlainText"/>
        <w:spacing w:line="360" w:lineRule="auto"/>
        <w:ind w:firstLine="420" w:firstLineChars="200"/>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pPr>
        <w:adjustRightInd w:val="0"/>
        <w:snapToGrid w:val="0"/>
        <w:spacing w:line="360" w:lineRule="auto"/>
        <w:ind w:firstLine="420" w:firstLineChars="200"/>
        <w:rPr>
          <w:rFonts w:ascii="宋体" w:hAnsi="宋体"/>
          <w:b/>
          <w:bCs/>
          <w:szCs w:val="21"/>
        </w:rPr>
      </w:pPr>
    </w:p>
    <w:p>
      <w:pPr>
        <w:adjustRightInd w:val="0"/>
        <w:snapToGrid w:val="0"/>
        <w:spacing w:line="360" w:lineRule="auto"/>
        <w:ind w:firstLine="420" w:firstLineChars="200"/>
        <w:rPr>
          <w:rFonts w:ascii="宋体" w:hAnsi="宋体"/>
          <w:b/>
          <w:bCs/>
          <w:szCs w:val="21"/>
        </w:rPr>
      </w:pPr>
      <w:r>
        <w:rPr>
          <w:rFonts w:ascii="宋体" w:hAnsi="宋体" w:hint="eastAsia"/>
          <w:b/>
          <w:bCs/>
          <w:szCs w:val="21"/>
        </w:rPr>
        <w:t xml:space="preserve">采购人（甲方）：   </w:t>
      </w:r>
    </w:p>
    <w:p>
      <w:pPr>
        <w:adjustRightInd w:val="0"/>
        <w:snapToGrid w:val="0"/>
        <w:spacing w:line="360" w:lineRule="auto"/>
        <w:ind w:firstLine="420" w:firstLineChars="200"/>
        <w:rPr>
          <w:rFonts w:ascii="宋体" w:hAnsi="宋体"/>
          <w:b/>
          <w:bCs/>
          <w:szCs w:val="21"/>
        </w:rPr>
      </w:pPr>
      <w:r>
        <w:rPr>
          <w:rFonts w:ascii="宋体" w:hAnsi="宋体" w:hint="eastAsia"/>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根据《中华人民共和国政府采购法》、《深圳经济特区政府采购条例》、《中华人民共和国民法典》之规定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pPr>
        <w:pStyle w:val="PlainText"/>
        <w:snapToGrid w:val="0"/>
        <w:spacing w:line="360" w:lineRule="auto"/>
        <w:ind w:firstLine="420" w:firstLineChars="200"/>
        <w:rPr>
          <w:rFonts w:hAnsi="宋体"/>
          <w:b/>
          <w:sz w:val="21"/>
          <w:szCs w:val="21"/>
        </w:rPr>
      </w:pPr>
      <w:r>
        <w:rPr>
          <w:rFonts w:hAnsi="宋体" w:hint="eastAsia"/>
          <w:b/>
          <w:sz w:val="21"/>
          <w:szCs w:val="21"/>
        </w:rPr>
        <w:t>一、服务内容</w:t>
      </w:r>
    </w:p>
    <w:p>
      <w:pPr>
        <w:spacing w:line="360" w:lineRule="auto"/>
        <w:ind w:firstLine="422" w:firstLineChars="201"/>
        <w:rPr>
          <w:rFonts w:ascii="宋体" w:hAnsi="宋体"/>
          <w:szCs w:val="21"/>
        </w:rPr>
      </w:pPr>
      <w:r>
        <w:rPr>
          <w:rFonts w:ascii="宋体" w:hAnsi="宋体" w:hint="eastAsia"/>
          <w:szCs w:val="21"/>
        </w:rPr>
        <w:t>______________________</w:t>
      </w:r>
    </w:p>
    <w:p>
      <w:pPr>
        <w:pStyle w:val="PlainText"/>
        <w:snapToGrid w:val="0"/>
        <w:spacing w:line="360" w:lineRule="auto"/>
        <w:ind w:firstLine="420" w:firstLineChars="200"/>
        <w:rPr>
          <w:rFonts w:hAnsi="宋体"/>
          <w:b/>
          <w:sz w:val="21"/>
          <w:szCs w:val="21"/>
        </w:rPr>
      </w:pPr>
      <w:r>
        <w:rPr>
          <w:rFonts w:hAnsi="宋体" w:hint="eastAsia"/>
          <w:b/>
          <w:sz w:val="21"/>
          <w:szCs w:val="21"/>
        </w:rPr>
        <w:t>二、合同金额</w:t>
      </w:r>
    </w:p>
    <w:p>
      <w:pPr>
        <w:pStyle w:val="PlainText"/>
        <w:snapToGrid w:val="0"/>
        <w:spacing w:line="360" w:lineRule="auto"/>
        <w:ind w:firstLine="420" w:firstLineChars="200"/>
        <w:rPr>
          <w:rFonts w:hAnsi="宋体"/>
          <w:sz w:val="21"/>
          <w:szCs w:val="21"/>
        </w:rPr>
      </w:pPr>
      <w:r>
        <w:rPr>
          <w:rFonts w:hAnsi="宋体" w:hint="eastAsia"/>
          <w:sz w:val="21"/>
          <w:szCs w:val="21"/>
        </w:rPr>
        <w:t>本合同金额为（大写）：____________________________________元（￥_______________元）人民币。</w:t>
      </w:r>
    </w:p>
    <w:p>
      <w:pPr>
        <w:pStyle w:val="PlainText"/>
        <w:snapToGrid w:val="0"/>
        <w:spacing w:line="360" w:lineRule="auto"/>
        <w:ind w:firstLine="420" w:firstLineChars="200"/>
        <w:rPr>
          <w:rFonts w:hAnsi="宋体"/>
          <w:b/>
          <w:sz w:val="21"/>
          <w:szCs w:val="21"/>
        </w:rPr>
      </w:pPr>
      <w:r>
        <w:rPr>
          <w:rFonts w:hAnsi="宋体" w:hint="eastAsia"/>
          <w:b/>
          <w:sz w:val="21"/>
          <w:szCs w:val="21"/>
        </w:rPr>
        <w:t>三、技术资料</w:t>
      </w:r>
    </w:p>
    <w:p>
      <w:pPr>
        <w:pStyle w:val="PlainText"/>
        <w:snapToGrid w:val="0"/>
        <w:spacing w:line="360" w:lineRule="auto"/>
        <w:ind w:firstLine="420" w:firstLineChars="200"/>
        <w:rPr>
          <w:rFonts w:hAnsi="宋体"/>
          <w:sz w:val="21"/>
          <w:szCs w:val="21"/>
        </w:rPr>
      </w:pPr>
      <w:r>
        <w:rPr>
          <w:rFonts w:hAnsi="宋体" w:hint="eastAsia"/>
          <w:sz w:val="21"/>
          <w:szCs w:val="21"/>
        </w:rPr>
        <w:t>1、中标人应按招标文件规定的时间向采购人提供有关技术资料。</w:t>
      </w:r>
    </w:p>
    <w:p>
      <w:pPr>
        <w:pStyle w:val="PlainText"/>
        <w:snapToGrid w:val="0"/>
        <w:spacing w:line="360" w:lineRule="auto"/>
        <w:ind w:firstLine="420" w:firstLineChars="200"/>
        <w:rPr>
          <w:rFonts w:hAnsi="宋体"/>
          <w:sz w:val="21"/>
          <w:szCs w:val="21"/>
        </w:rPr>
      </w:pPr>
      <w:r>
        <w:rPr>
          <w:rFonts w:hAnsi="宋体" w:hint="eastAsia"/>
          <w:sz w:val="21"/>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PlainText"/>
        <w:snapToGrid w:val="0"/>
        <w:spacing w:line="360" w:lineRule="auto"/>
        <w:ind w:firstLine="420" w:firstLineChars="200"/>
        <w:rPr>
          <w:rFonts w:hAnsi="宋体"/>
          <w:sz w:val="21"/>
          <w:szCs w:val="21"/>
        </w:rPr>
      </w:pPr>
      <w:r>
        <w:rPr>
          <w:rFonts w:hAnsi="宋体" w:hint="eastAsia"/>
          <w:sz w:val="21"/>
          <w:szCs w:val="21"/>
        </w:rPr>
        <w:t>3、合同履行完毕，未经采购人的书面同意，中标人不得保存在履行合同过程中所获得或接触到的任何内部数据资料。</w:t>
      </w:r>
    </w:p>
    <w:p>
      <w:pPr>
        <w:pStyle w:val="PlainText"/>
        <w:snapToGrid w:val="0"/>
        <w:spacing w:line="360" w:lineRule="auto"/>
        <w:ind w:firstLine="420" w:firstLineChars="200"/>
        <w:rPr>
          <w:rFonts w:hAnsi="宋体"/>
          <w:b/>
          <w:sz w:val="21"/>
          <w:szCs w:val="21"/>
        </w:rPr>
      </w:pPr>
      <w:r>
        <w:rPr>
          <w:rFonts w:hAnsi="宋体" w:hint="eastAsia"/>
          <w:b/>
          <w:sz w:val="21"/>
          <w:szCs w:val="21"/>
        </w:rPr>
        <w:t>四、知识产权</w:t>
      </w:r>
    </w:p>
    <w:p>
      <w:pPr>
        <w:pStyle w:val="PlainText"/>
        <w:snapToGrid w:val="0"/>
        <w:spacing w:line="360" w:lineRule="auto"/>
        <w:ind w:firstLine="420" w:firstLineChars="200"/>
        <w:rPr>
          <w:rFonts w:hAnsi="宋体"/>
          <w:bCs/>
          <w:sz w:val="21"/>
          <w:szCs w:val="21"/>
        </w:rPr>
      </w:pPr>
      <w:r>
        <w:rPr>
          <w:rFonts w:hAnsi="宋体" w:hint="eastAsia"/>
          <w:sz w:val="21"/>
          <w:szCs w:val="21"/>
        </w:rPr>
        <w:t>中标人应保证提供服务过程中不会侵犯任何第三方的知识产权</w:t>
      </w:r>
      <w:r>
        <w:rPr>
          <w:rFonts w:hAnsi="宋体" w:hint="eastAsia"/>
          <w:bCs/>
          <w:sz w:val="21"/>
          <w:szCs w:val="21"/>
        </w:rPr>
        <w:t>。</w:t>
      </w:r>
    </w:p>
    <w:p>
      <w:pPr>
        <w:pStyle w:val="PlainText"/>
        <w:snapToGrid w:val="0"/>
        <w:spacing w:line="360" w:lineRule="auto"/>
        <w:ind w:firstLine="420" w:firstLineChars="200"/>
        <w:rPr>
          <w:rFonts w:hAnsi="宋体"/>
          <w:b/>
          <w:sz w:val="21"/>
          <w:szCs w:val="21"/>
        </w:rPr>
      </w:pPr>
      <w:r>
        <w:rPr>
          <w:rFonts w:hAnsi="宋体" w:hint="eastAsia"/>
          <w:b/>
          <w:sz w:val="21"/>
          <w:szCs w:val="21"/>
        </w:rPr>
        <w:t>五、履约保证金</w:t>
      </w:r>
    </w:p>
    <w:p>
      <w:pPr>
        <w:snapToGrid w:val="0"/>
        <w:spacing w:line="360" w:lineRule="auto"/>
        <w:ind w:firstLine="420" w:firstLineChars="200"/>
        <w:rPr>
          <w:rFonts w:ascii="宋体" w:hAnsi="宋体"/>
          <w:b/>
          <w:szCs w:val="21"/>
        </w:rPr>
      </w:pPr>
      <w:r>
        <w:rPr>
          <w:rFonts w:ascii="宋体" w:hAnsi="宋体" w:hint="eastAsia"/>
          <w:b/>
          <w:szCs w:val="21"/>
        </w:rPr>
        <w:t>六、采购人的权利与义务</w:t>
      </w:r>
    </w:p>
    <w:p>
      <w:pPr>
        <w:snapToGrid w:val="0"/>
        <w:spacing w:line="360" w:lineRule="auto"/>
        <w:ind w:firstLine="420" w:firstLineChars="200"/>
        <w:rPr>
          <w:rFonts w:ascii="宋体" w:hAnsi="宋体"/>
          <w:szCs w:val="21"/>
        </w:rPr>
      </w:pPr>
      <w:r>
        <w:rPr>
          <w:rFonts w:ascii="宋体" w:hAnsi="宋体" w:hint="eastAsia"/>
          <w:szCs w:val="21"/>
        </w:rPr>
        <w:t>1、_______________________</w:t>
      </w:r>
    </w:p>
    <w:p>
      <w:pPr>
        <w:snapToGrid w:val="0"/>
        <w:spacing w:line="360" w:lineRule="auto"/>
        <w:ind w:firstLine="420" w:firstLineChars="200"/>
        <w:rPr>
          <w:rFonts w:ascii="宋体" w:hAnsi="宋体"/>
          <w:szCs w:val="21"/>
        </w:rPr>
      </w:pPr>
      <w:r>
        <w:rPr>
          <w:rFonts w:ascii="宋体" w:hAnsi="宋体" w:hint="eastAsia"/>
          <w:szCs w:val="21"/>
        </w:rPr>
        <w:t>2、_______________________</w:t>
      </w:r>
    </w:p>
    <w:p>
      <w:pPr>
        <w:snapToGrid w:val="0"/>
        <w:spacing w:line="360" w:lineRule="auto"/>
        <w:ind w:firstLine="420" w:firstLineChars="200"/>
        <w:rPr>
          <w:rFonts w:ascii="宋体" w:hAnsi="宋体"/>
          <w:szCs w:val="21"/>
        </w:rPr>
      </w:pPr>
      <w:r>
        <w:rPr>
          <w:rFonts w:ascii="宋体" w:hAnsi="宋体" w:hint="eastAsia"/>
          <w:szCs w:val="21"/>
        </w:rPr>
        <w:t>3、_______________________</w:t>
      </w:r>
    </w:p>
    <w:p>
      <w:pPr>
        <w:snapToGrid w:val="0"/>
        <w:spacing w:line="360" w:lineRule="auto"/>
        <w:ind w:firstLine="420" w:firstLineChars="200"/>
        <w:rPr>
          <w:rFonts w:ascii="宋体" w:hAnsi="宋体"/>
          <w:szCs w:val="21"/>
        </w:rPr>
      </w:pPr>
      <w:r>
        <w:rPr>
          <w:rFonts w:ascii="宋体" w:hAnsi="宋体" w:hint="eastAsia"/>
          <w:szCs w:val="21"/>
        </w:rPr>
        <w:t>4、_______________________</w:t>
      </w:r>
    </w:p>
    <w:p>
      <w:pPr>
        <w:snapToGrid w:val="0"/>
        <w:spacing w:line="360" w:lineRule="auto"/>
        <w:ind w:firstLine="420" w:firstLineChars="200"/>
        <w:rPr>
          <w:rFonts w:ascii="宋体" w:hAnsi="宋体"/>
          <w:szCs w:val="21"/>
        </w:rPr>
      </w:pPr>
      <w:r>
        <w:rPr>
          <w:rFonts w:ascii="宋体" w:hAnsi="宋体" w:hint="eastAsia"/>
          <w:szCs w:val="21"/>
        </w:rPr>
        <w:t>5、采购人的其它权利与义务_______________________</w:t>
      </w:r>
    </w:p>
    <w:p>
      <w:pPr>
        <w:snapToGrid w:val="0"/>
        <w:spacing w:line="360" w:lineRule="auto"/>
        <w:ind w:firstLine="420" w:firstLineChars="200"/>
        <w:rPr>
          <w:rFonts w:ascii="宋体" w:hAnsi="宋体"/>
          <w:b/>
          <w:szCs w:val="21"/>
        </w:rPr>
      </w:pPr>
      <w:r>
        <w:rPr>
          <w:rFonts w:ascii="宋体" w:hAnsi="宋体" w:hint="eastAsia"/>
          <w:b/>
          <w:szCs w:val="21"/>
        </w:rPr>
        <w:t>七、中标人的权利与义务</w:t>
      </w:r>
    </w:p>
    <w:p>
      <w:pPr>
        <w:snapToGrid w:val="0"/>
        <w:spacing w:line="360" w:lineRule="auto"/>
        <w:ind w:firstLine="420" w:firstLineChars="200"/>
        <w:rPr>
          <w:rFonts w:ascii="宋体" w:hAnsi="宋体"/>
          <w:szCs w:val="21"/>
        </w:rPr>
      </w:pPr>
      <w:r>
        <w:rPr>
          <w:rFonts w:ascii="宋体" w:hAnsi="宋体" w:hint="eastAsia"/>
          <w:szCs w:val="21"/>
        </w:rPr>
        <w:t>1、_______________________</w:t>
      </w:r>
    </w:p>
    <w:p>
      <w:pPr>
        <w:snapToGrid w:val="0"/>
        <w:spacing w:line="360" w:lineRule="auto"/>
        <w:ind w:firstLine="420" w:firstLineChars="200"/>
        <w:rPr>
          <w:rFonts w:ascii="宋体" w:hAnsi="宋体"/>
          <w:szCs w:val="21"/>
        </w:rPr>
      </w:pPr>
      <w:r>
        <w:rPr>
          <w:rFonts w:ascii="宋体" w:hAnsi="宋体" w:hint="eastAsia"/>
          <w:szCs w:val="21"/>
        </w:rPr>
        <w:t>2、_______________________</w:t>
      </w:r>
    </w:p>
    <w:p>
      <w:pPr>
        <w:snapToGrid w:val="0"/>
        <w:spacing w:line="360" w:lineRule="auto"/>
        <w:ind w:firstLine="420" w:firstLineChars="200"/>
        <w:rPr>
          <w:rFonts w:ascii="宋体" w:hAnsi="宋体"/>
          <w:szCs w:val="21"/>
        </w:rPr>
      </w:pPr>
      <w:r>
        <w:rPr>
          <w:rFonts w:ascii="宋体" w:hAnsi="宋体" w:hint="eastAsia"/>
          <w:szCs w:val="21"/>
        </w:rPr>
        <w:t>3、_______________________</w:t>
      </w:r>
    </w:p>
    <w:p>
      <w:pPr>
        <w:snapToGrid w:val="0"/>
        <w:spacing w:line="360" w:lineRule="auto"/>
        <w:ind w:firstLine="420" w:firstLineChars="200"/>
        <w:rPr>
          <w:rFonts w:ascii="宋体" w:hAnsi="宋体"/>
          <w:szCs w:val="21"/>
        </w:rPr>
      </w:pPr>
      <w:r>
        <w:rPr>
          <w:rFonts w:ascii="宋体" w:hAnsi="宋体" w:hint="eastAsia"/>
          <w:szCs w:val="21"/>
        </w:rPr>
        <w:t>4、_______________________</w:t>
      </w:r>
    </w:p>
    <w:p>
      <w:pPr>
        <w:snapToGrid w:val="0"/>
        <w:spacing w:line="360" w:lineRule="auto"/>
        <w:ind w:firstLine="420" w:firstLineChars="200"/>
        <w:rPr>
          <w:rFonts w:ascii="宋体" w:hAnsi="宋体"/>
          <w:szCs w:val="21"/>
        </w:rPr>
      </w:pPr>
      <w:r>
        <w:rPr>
          <w:rFonts w:ascii="宋体" w:hAnsi="宋体" w:hint="eastAsia"/>
          <w:szCs w:val="21"/>
        </w:rPr>
        <w:t>5、中标人的其它权利与义务_______________________</w:t>
      </w:r>
    </w:p>
    <w:p>
      <w:pPr>
        <w:pStyle w:val="PlainText"/>
        <w:snapToGrid w:val="0"/>
        <w:spacing w:line="360" w:lineRule="auto"/>
        <w:ind w:firstLine="420" w:firstLineChars="200"/>
        <w:rPr>
          <w:rFonts w:hAnsi="宋体"/>
          <w:b/>
          <w:sz w:val="21"/>
          <w:szCs w:val="21"/>
        </w:rPr>
      </w:pPr>
      <w:r>
        <w:rPr>
          <w:rFonts w:hAnsi="宋体" w:hint="eastAsia"/>
          <w:b/>
          <w:sz w:val="21"/>
          <w:szCs w:val="21"/>
        </w:rPr>
        <w:t>八、合同履行时间、履行方式及履行地点</w:t>
      </w:r>
    </w:p>
    <w:p>
      <w:pPr>
        <w:pStyle w:val="PlainText"/>
        <w:snapToGrid w:val="0"/>
        <w:spacing w:line="360" w:lineRule="auto"/>
        <w:ind w:firstLine="420" w:firstLineChars="200"/>
        <w:rPr>
          <w:rFonts w:hAnsi="宋体"/>
          <w:bCs/>
          <w:sz w:val="21"/>
          <w:szCs w:val="21"/>
        </w:rPr>
      </w:pPr>
      <w:r>
        <w:rPr>
          <w:rFonts w:hAnsi="宋体" w:hint="eastAsia"/>
          <w:bCs/>
          <w:sz w:val="21"/>
          <w:szCs w:val="21"/>
        </w:rPr>
        <w:t>1、</w:t>
      </w:r>
      <w:r>
        <w:rPr>
          <w:rFonts w:hAnsi="宋体" w:hint="eastAsia"/>
          <w:sz w:val="21"/>
          <w:szCs w:val="21"/>
        </w:rPr>
        <w:t>履行时间</w:t>
      </w:r>
      <w:r>
        <w:rPr>
          <w:rFonts w:hAnsi="宋体" w:hint="eastAsia"/>
          <w:bCs/>
          <w:sz w:val="21"/>
          <w:szCs w:val="21"/>
        </w:rPr>
        <w:t>：</w:t>
      </w:r>
      <w:r>
        <w:rPr>
          <w:rFonts w:hAnsi="宋体" w:hint="eastAsia"/>
          <w:sz w:val="21"/>
          <w:szCs w:val="21"/>
        </w:rPr>
        <w:t>______________________</w:t>
      </w:r>
    </w:p>
    <w:p>
      <w:pPr>
        <w:pStyle w:val="PlainText"/>
        <w:snapToGrid w:val="0"/>
        <w:spacing w:line="360" w:lineRule="auto"/>
        <w:ind w:firstLine="420" w:firstLineChars="200"/>
        <w:rPr>
          <w:rFonts w:hAnsi="宋体"/>
          <w:bCs/>
          <w:sz w:val="21"/>
          <w:szCs w:val="21"/>
        </w:rPr>
      </w:pPr>
      <w:r>
        <w:rPr>
          <w:rFonts w:hAnsi="宋体" w:hint="eastAsia"/>
          <w:bCs/>
          <w:sz w:val="21"/>
          <w:szCs w:val="21"/>
        </w:rPr>
        <w:t>2、</w:t>
      </w:r>
      <w:r>
        <w:rPr>
          <w:rFonts w:hAnsi="宋体" w:hint="eastAsia"/>
          <w:sz w:val="21"/>
          <w:szCs w:val="21"/>
        </w:rPr>
        <w:t>履行方式</w:t>
      </w:r>
      <w:r>
        <w:rPr>
          <w:rFonts w:hAnsi="宋体" w:hint="eastAsia"/>
          <w:bCs/>
          <w:sz w:val="21"/>
          <w:szCs w:val="21"/>
        </w:rPr>
        <w:t>：</w:t>
      </w:r>
      <w:r>
        <w:rPr>
          <w:rFonts w:hAnsi="宋体" w:hint="eastAsia"/>
          <w:sz w:val="21"/>
          <w:szCs w:val="21"/>
        </w:rPr>
        <w:t>______________________</w:t>
      </w:r>
    </w:p>
    <w:p>
      <w:pPr>
        <w:pStyle w:val="PlainText"/>
        <w:snapToGrid w:val="0"/>
        <w:spacing w:line="360" w:lineRule="auto"/>
        <w:ind w:firstLine="420" w:firstLineChars="200"/>
        <w:rPr>
          <w:rFonts w:hAnsi="宋体"/>
          <w:sz w:val="21"/>
          <w:szCs w:val="21"/>
        </w:rPr>
      </w:pPr>
      <w:r>
        <w:rPr>
          <w:rFonts w:hAnsi="宋体" w:hint="eastAsia"/>
          <w:bCs/>
          <w:sz w:val="21"/>
          <w:szCs w:val="21"/>
        </w:rPr>
        <w:t>3、</w:t>
      </w:r>
      <w:r>
        <w:rPr>
          <w:rFonts w:hAnsi="宋体" w:hint="eastAsia"/>
          <w:sz w:val="21"/>
          <w:szCs w:val="21"/>
        </w:rPr>
        <w:t>履行地点</w:t>
      </w:r>
      <w:r>
        <w:rPr>
          <w:rFonts w:hAnsi="宋体" w:hint="eastAsia"/>
          <w:bCs/>
          <w:sz w:val="21"/>
          <w:szCs w:val="21"/>
        </w:rPr>
        <w:t>：</w:t>
      </w:r>
      <w:r>
        <w:rPr>
          <w:rFonts w:hAnsi="宋体" w:hint="eastAsia"/>
          <w:sz w:val="21"/>
          <w:szCs w:val="21"/>
          <w:u w:val="single"/>
        </w:rPr>
        <w:t>深圳市</w:t>
      </w:r>
    </w:p>
    <w:p>
      <w:pPr>
        <w:snapToGrid w:val="0"/>
        <w:spacing w:line="360" w:lineRule="auto"/>
        <w:ind w:firstLine="420" w:firstLineChars="200"/>
        <w:rPr>
          <w:rFonts w:ascii="宋体" w:hAnsi="宋体"/>
          <w:b/>
          <w:szCs w:val="21"/>
        </w:rPr>
      </w:pPr>
      <w:r>
        <w:rPr>
          <w:rFonts w:ascii="宋体" w:hAnsi="宋体" w:hint="eastAsia"/>
          <w:b/>
          <w:szCs w:val="21"/>
        </w:rPr>
        <w:t>九、验收</w:t>
      </w:r>
    </w:p>
    <w:p>
      <w:pPr>
        <w:snapToGrid w:val="0"/>
        <w:spacing w:line="360" w:lineRule="auto"/>
        <w:ind w:firstLine="420" w:firstLineChars="200"/>
        <w:rPr>
          <w:rFonts w:ascii="宋体" w:hAnsi="宋体"/>
          <w:szCs w:val="21"/>
        </w:rPr>
      </w:pPr>
      <w:r>
        <w:rPr>
          <w:rFonts w:ascii="宋体" w:hAnsi="宋体" w:hint="eastAsia"/>
          <w:szCs w:val="21"/>
        </w:rPr>
        <w:t>1、下列文件的验收分为______个阶段:</w:t>
      </w:r>
    </w:p>
    <w:p>
      <w:pPr>
        <w:snapToGrid w:val="0"/>
        <w:spacing w:line="360" w:lineRule="auto"/>
        <w:ind w:firstLine="420" w:firstLineChars="20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ascii="宋体" w:hAnsi="宋体" w:hint="eastAsia"/>
          <w:szCs w:val="21"/>
        </w:rPr>
        <w:t>3、验收依据为招标文件、中标人投标文件，国家和行业有关规范、规程和标准。</w:t>
      </w:r>
    </w:p>
    <w:p>
      <w:pPr>
        <w:pStyle w:val="PlainText"/>
        <w:snapToGrid w:val="0"/>
        <w:spacing w:line="360" w:lineRule="auto"/>
        <w:ind w:firstLine="420" w:firstLineChars="200"/>
        <w:rPr>
          <w:rFonts w:hAnsi="宋体"/>
          <w:b/>
          <w:sz w:val="21"/>
          <w:szCs w:val="21"/>
        </w:rPr>
      </w:pPr>
      <w:r>
        <w:rPr>
          <w:rFonts w:hAnsi="宋体" w:hint="eastAsia"/>
          <w:b/>
          <w:sz w:val="21"/>
          <w:szCs w:val="21"/>
        </w:rPr>
        <w:t>十、付款方式和税费</w:t>
      </w:r>
    </w:p>
    <w:p>
      <w:pPr>
        <w:pStyle w:val="PlainText"/>
        <w:snapToGrid w:val="0"/>
        <w:spacing w:line="360" w:lineRule="auto"/>
        <w:ind w:firstLine="420" w:firstLineChars="200"/>
        <w:rPr>
          <w:rFonts w:hAnsi="宋体"/>
          <w:bCs/>
          <w:sz w:val="21"/>
          <w:szCs w:val="21"/>
        </w:rPr>
      </w:pPr>
      <w:r>
        <w:rPr>
          <w:rFonts w:hAnsi="宋体" w:cs="宋体"/>
          <w:sz w:val="21"/>
          <w:szCs w:val="21"/>
        </w:rPr>
        <w:t>本合同付款方式为</w:t>
      </w:r>
      <w:r>
        <w:rPr>
          <w:rFonts w:hAnsi="宋体" w:cs="宋体" w:hint="eastAsia"/>
          <w:sz w:val="21"/>
          <w:szCs w:val="21"/>
        </w:rPr>
        <w:t>：</w:t>
      </w:r>
      <w:r>
        <w:rPr>
          <w:rFonts w:hAnsi="宋体" w:cs="宋体" w:hint="eastAsia"/>
          <w:sz w:val="21"/>
          <w:szCs w:val="21"/>
          <w:u w:val="single"/>
        </w:rPr>
        <w:t xml:space="preserve">                </w:t>
      </w:r>
      <w:r>
        <w:rPr>
          <w:rFonts w:hAnsi="宋体" w:hint="eastAsia"/>
          <w:bCs/>
          <w:sz w:val="21"/>
          <w:szCs w:val="21"/>
        </w:rPr>
        <w:t>。</w:t>
      </w:r>
    </w:p>
    <w:p>
      <w:pPr>
        <w:snapToGrid w:val="0"/>
        <w:spacing w:line="360" w:lineRule="auto"/>
        <w:ind w:firstLine="420" w:firstLineChars="200"/>
        <w:rPr>
          <w:rFonts w:ascii="宋体" w:hAnsi="宋体"/>
          <w:szCs w:val="21"/>
        </w:rPr>
      </w:pPr>
      <w:r>
        <w:rPr>
          <w:rFonts w:ascii="宋体" w:hAnsi="宋体" w:hint="eastAsia"/>
          <w:szCs w:val="21"/>
        </w:rPr>
        <w:t>本合同执行中相关的一切税费均由中标人负担。</w:t>
      </w:r>
    </w:p>
    <w:p>
      <w:pPr>
        <w:snapToGrid w:val="0"/>
        <w:spacing w:line="360" w:lineRule="auto"/>
        <w:ind w:firstLine="420" w:firstLineChars="200"/>
        <w:rPr>
          <w:rFonts w:ascii="宋体" w:hAnsi="宋体"/>
          <w:b/>
          <w:bCs/>
          <w:szCs w:val="21"/>
        </w:rPr>
      </w:pPr>
      <w:r>
        <w:rPr>
          <w:rFonts w:ascii="宋体" w:hAnsi="宋体" w:hint="eastAsia"/>
          <w:b/>
          <w:szCs w:val="21"/>
        </w:rPr>
        <w:t>十一、</w:t>
      </w:r>
      <w:r>
        <w:rPr>
          <w:rFonts w:ascii="宋体" w:hAnsi="宋体" w:hint="eastAsia"/>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pPr>
        <w:pStyle w:val="PlainText"/>
        <w:snapToGrid w:val="0"/>
        <w:spacing w:line="360" w:lineRule="auto"/>
        <w:ind w:firstLine="420" w:firstLineChars="200"/>
        <w:rPr>
          <w:rFonts w:hAnsi="宋体"/>
          <w:b/>
          <w:sz w:val="21"/>
          <w:szCs w:val="21"/>
        </w:rPr>
      </w:pPr>
      <w:r>
        <w:rPr>
          <w:rFonts w:hAnsi="宋体" w:hint="eastAsia"/>
          <w:b/>
          <w:sz w:val="21"/>
          <w:szCs w:val="21"/>
        </w:rPr>
        <w:t>十二、违约责任</w:t>
      </w:r>
    </w:p>
    <w:p>
      <w:pPr>
        <w:pStyle w:val="PlainText"/>
        <w:snapToGrid w:val="0"/>
        <w:spacing w:line="360" w:lineRule="auto"/>
        <w:ind w:firstLine="420" w:firstLineChars="200"/>
        <w:rPr>
          <w:rFonts w:hAnsi="宋体"/>
          <w:sz w:val="21"/>
          <w:szCs w:val="21"/>
        </w:rPr>
      </w:pPr>
      <w:r>
        <w:rPr>
          <w:rFonts w:hAnsi="宋体" w:hint="eastAsia"/>
          <w:sz w:val="21"/>
          <w:szCs w:val="21"/>
        </w:rPr>
        <w:t>1、因中标人原因，未能按规定完成本项目有关工作的，采购人可在支付合同余款中扣除合同价款</w:t>
      </w:r>
      <w:r>
        <w:rPr>
          <w:rFonts w:hAnsi="宋体" w:hint="eastAsia"/>
          <w:sz w:val="21"/>
          <w:szCs w:val="21"/>
          <w:u w:val="single"/>
        </w:rPr>
        <w:t xml:space="preserve">        </w:t>
      </w:r>
      <w:r>
        <w:rPr>
          <w:rFonts w:hAnsi="宋体" w:hint="eastAsia"/>
          <w:sz w:val="21"/>
          <w:szCs w:val="21"/>
        </w:rPr>
        <w:t>。</w:t>
      </w:r>
    </w:p>
    <w:p>
      <w:pPr>
        <w:snapToGrid w:val="0"/>
        <w:spacing w:line="360" w:lineRule="auto"/>
        <w:ind w:firstLine="420" w:firstLineChars="200"/>
        <w:rPr>
          <w:rFonts w:ascii="宋体" w:hAnsi="宋体"/>
          <w:szCs w:val="21"/>
        </w:rPr>
      </w:pPr>
      <w:r>
        <w:rPr>
          <w:rFonts w:ascii="宋体" w:hAnsi="宋体" w:hint="eastAsia"/>
          <w:szCs w:val="21"/>
        </w:rPr>
        <w:t>2、__________方违反本合同__________约定，应当__________。</w:t>
      </w:r>
    </w:p>
    <w:p>
      <w:pPr>
        <w:snapToGrid w:val="0"/>
        <w:spacing w:line="360" w:lineRule="auto"/>
        <w:ind w:firstLine="420" w:firstLineChars="200"/>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pPr>
        <w:snapToGrid w:val="0"/>
        <w:spacing w:line="360" w:lineRule="auto"/>
        <w:ind w:firstLine="420" w:firstLineChars="20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pPr>
        <w:snapToGrid w:val="0"/>
        <w:spacing w:line="360" w:lineRule="auto"/>
        <w:ind w:firstLine="420" w:firstLineChars="200"/>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pPr>
        <w:snapToGrid w:val="0"/>
        <w:spacing w:line="360" w:lineRule="auto"/>
        <w:ind w:firstLine="420" w:firstLineChars="200"/>
        <w:rPr>
          <w:rFonts w:ascii="宋体" w:hAnsi="宋体"/>
          <w:szCs w:val="21"/>
        </w:rPr>
      </w:pPr>
      <w:r>
        <w:rPr>
          <w:rFonts w:ascii="宋体" w:hAnsi="宋体" w:hint="eastAsia"/>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ascii="宋体" w:hAnsi="宋体" w:hint="eastAsia"/>
          <w:szCs w:val="21"/>
        </w:rPr>
        <w:t>2、下列文件均为本合同的组成部分：</w:t>
      </w:r>
    </w:p>
    <w:p>
      <w:pPr>
        <w:snapToGrid w:val="0"/>
        <w:spacing w:line="360" w:lineRule="auto"/>
        <w:ind w:firstLine="420" w:firstLineChars="200"/>
        <w:rPr>
          <w:rFonts w:ascii="宋体" w:hAnsi="宋体"/>
          <w:szCs w:val="21"/>
        </w:rPr>
      </w:pPr>
      <w:r>
        <w:rPr>
          <w:rFonts w:ascii="宋体" w:hAnsi="宋体" w:hint="eastAsia"/>
          <w:szCs w:val="21"/>
        </w:rPr>
        <w:t>（1）招标文件、答疑及补充通知；</w:t>
      </w:r>
    </w:p>
    <w:p>
      <w:pPr>
        <w:snapToGrid w:val="0"/>
        <w:spacing w:line="360" w:lineRule="auto"/>
        <w:ind w:firstLine="420" w:firstLineChars="200"/>
        <w:rPr>
          <w:rFonts w:ascii="宋体" w:hAnsi="宋体"/>
          <w:szCs w:val="21"/>
        </w:rPr>
      </w:pPr>
      <w:r>
        <w:rPr>
          <w:rFonts w:ascii="宋体" w:hAnsi="宋体" w:hint="eastAsia"/>
          <w:szCs w:val="21"/>
        </w:rPr>
        <w:t>（2）</w:t>
      </w:r>
      <w:r>
        <w:rPr>
          <w:rFonts w:asciiTheme="minorEastAsia" w:hAnsiTheme="minorEastAsia"/>
          <w:szCs w:val="21"/>
        </w:rPr>
        <w:t>乙方的</w:t>
      </w:r>
      <w:r>
        <w:rPr>
          <w:rFonts w:ascii="宋体" w:hAnsi="宋体" w:hint="eastAsia"/>
          <w:szCs w:val="21"/>
        </w:rPr>
        <w:t>投标文件；</w:t>
      </w:r>
    </w:p>
    <w:p>
      <w:pPr>
        <w:snapToGrid w:val="0"/>
        <w:spacing w:line="360" w:lineRule="auto"/>
        <w:ind w:firstLine="420" w:firstLineChars="200"/>
        <w:rPr>
          <w:rFonts w:ascii="宋体" w:hAnsi="宋体"/>
          <w:szCs w:val="21"/>
        </w:rPr>
      </w:pPr>
      <w:r>
        <w:rPr>
          <w:rFonts w:ascii="宋体" w:hAnsi="宋体" w:hint="eastAsia"/>
          <w:szCs w:val="21"/>
        </w:rPr>
        <w:t>（3）本合同执行中共同签署的补充与修正文件。</w:t>
      </w:r>
    </w:p>
    <w:p>
      <w:pPr>
        <w:snapToGrid w:val="0"/>
        <w:spacing w:line="360" w:lineRule="auto"/>
        <w:ind w:firstLine="420" w:firstLineChars="200"/>
        <w:rPr>
          <w:rFonts w:ascii="宋体" w:hAnsi="宋体"/>
          <w:szCs w:val="21"/>
        </w:rPr>
      </w:pPr>
      <w:r>
        <w:rPr>
          <w:rFonts w:ascii="宋体" w:hAnsi="宋体" w:hint="eastAsia"/>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ascii="宋体" w:hAnsi="宋体" w:hint="eastAsia"/>
          <w:szCs w:val="21"/>
        </w:rPr>
        <w:t>4、本合同未尽事宜，双方友好协商，达成解决方案，经双方签字后，可作为本合同的有效附件。</w:t>
      </w:r>
    </w:p>
    <w:p>
      <w:pPr>
        <w:pStyle w:val="PlainText"/>
        <w:snapToGrid w:val="0"/>
        <w:spacing w:line="360" w:lineRule="auto"/>
        <w:ind w:firstLine="420" w:firstLineChars="200"/>
        <w:rPr>
          <w:rFonts w:hAnsi="宋体"/>
          <w:sz w:val="21"/>
          <w:szCs w:val="21"/>
        </w:rPr>
      </w:pPr>
      <w:r>
        <w:rPr>
          <w:rFonts w:hAnsi="宋体" w:hint="eastAsia"/>
          <w:sz w:val="21"/>
          <w:szCs w:val="21"/>
        </w:rPr>
        <w:t>附件：</w:t>
      </w:r>
    </w:p>
    <w:p>
      <w:pPr>
        <w:snapToGrid w:val="0"/>
        <w:spacing w:line="360" w:lineRule="auto"/>
        <w:ind w:firstLine="420" w:firstLineChars="200"/>
        <w:rPr>
          <w:rFonts w:ascii="宋体" w:hAnsi="宋体"/>
          <w:szCs w:val="21"/>
        </w:rPr>
      </w:pPr>
      <w:r>
        <w:rPr>
          <w:rFonts w:ascii="宋体" w:hAnsi="宋体" w:hint="eastAsia"/>
          <w:szCs w:val="21"/>
        </w:rPr>
        <w:t>1、《中标/成交通知书》</w:t>
      </w:r>
    </w:p>
    <w:p>
      <w:pPr>
        <w:snapToGrid w:val="0"/>
        <w:spacing w:line="360" w:lineRule="auto"/>
        <w:ind w:firstLine="420" w:firstLineChars="200"/>
        <w:rPr>
          <w:rFonts w:ascii="宋体" w:hAnsi="宋体"/>
          <w:szCs w:val="21"/>
        </w:rPr>
      </w:pPr>
      <w:r>
        <w:rPr>
          <w:rFonts w:ascii="宋体" w:hAnsi="宋体" w:hint="eastAsia"/>
          <w:szCs w:val="21"/>
        </w:rPr>
        <w:t>2、《投标文件》</w:t>
      </w:r>
    </w:p>
    <w:p>
      <w:pPr>
        <w:snapToGrid w:val="0"/>
        <w:spacing w:line="360" w:lineRule="auto"/>
        <w:ind w:firstLine="420" w:firstLineChars="200"/>
        <w:rPr>
          <w:rFonts w:ascii="宋体" w:hAnsi="宋体"/>
          <w:szCs w:val="21"/>
        </w:rPr>
      </w:pPr>
      <w:r>
        <w:rPr>
          <w:rFonts w:ascii="宋体" w:hAnsi="宋体" w:hint="eastAsia"/>
          <w:szCs w:val="21"/>
        </w:rPr>
        <w:t>3、《招标文件》</w:t>
      </w:r>
    </w:p>
    <w:p>
      <w:pPr>
        <w:snapToGrid w:val="0"/>
        <w:spacing w:line="360" w:lineRule="auto"/>
        <w:ind w:firstLine="420" w:firstLineChars="200"/>
        <w:rPr>
          <w:rFonts w:ascii="宋体" w:hAnsi="宋体"/>
          <w:szCs w:val="21"/>
        </w:rPr>
      </w:pPr>
      <w:r>
        <w:rPr>
          <w:rFonts w:ascii="宋体" w:hAnsi="宋体" w:hint="eastAsia"/>
          <w:szCs w:val="21"/>
        </w:rPr>
        <w:t>4、《分包意向协议书/联合体投标协议》</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pPr>
        <w:ind w:firstLine="420" w:firstLineChars="200"/>
        <w:rPr>
          <w:rFonts w:ascii="宋体" w:hAnsi="宋体"/>
          <w:szCs w:val="21"/>
        </w:rPr>
      </w:pPr>
    </w:p>
    <w:p>
      <w:pPr>
        <w:ind w:firstLine="420" w:firstLineChars="200"/>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widowControl/>
        <w:jc w:val="left"/>
        <w:rPr>
          <w:rFonts w:ascii="宋体" w:hAnsi="宋体"/>
          <w:b/>
          <w:szCs w:val="21"/>
        </w:rPr>
      </w:pPr>
      <w:r>
        <w:rPr>
          <w:bCs/>
          <w:szCs w:val="21"/>
        </w:rPr>
        <w:br w:type="page"/>
      </w:r>
    </w:p>
    <w:p>
      <w:pPr>
        <w:pStyle w:val="Heading3"/>
        <w:spacing w:before="0"/>
        <w:jc w:val="center"/>
        <w:rPr>
          <w:rFonts w:ascii="黑体" w:eastAsia="黑体"/>
          <w:sz w:val="24"/>
          <w:szCs w:val="24"/>
        </w:rPr>
      </w:pPr>
      <w:r>
        <w:rPr>
          <w:rFonts w:ascii="黑体" w:eastAsia="黑体" w:hint="eastAsia"/>
          <w:sz w:val="24"/>
          <w:szCs w:val="24"/>
        </w:rPr>
        <w:t>二、政府采购履约情况反馈表</w:t>
      </w:r>
    </w:p>
    <w:p>
      <w:pPr>
        <w:spacing w:line="240" w:lineRule="atLeast"/>
        <w:rPr>
          <w:rFonts w:ascii="宋体" w:hAnsi="宋体"/>
          <w:b/>
          <w:szCs w:val="21"/>
        </w:rPr>
      </w:pPr>
      <w:r>
        <w:rPr>
          <w:rFonts w:ascii="宋体" w:hAnsi="宋体" w:hint="eastAsia"/>
          <w:b/>
          <w:szCs w:val="21"/>
        </w:rPr>
        <w:t>采购人名称：                       联系人及电话：</w:t>
      </w:r>
    </w:p>
    <w:p>
      <w:pPr>
        <w:spacing w:line="60" w:lineRule="exact"/>
        <w:rPr>
          <w:rFonts w:ascii="宋体" w:hAnsi="宋体"/>
          <w:b/>
          <w:szCs w:val="21"/>
        </w:rPr>
      </w:pPr>
    </w:p>
    <w:tbl>
      <w:tblPr>
        <w:tblStyle w:val="TableNormal"/>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0" w:type="dxa"/>
          <w:left w:w="108" w:type="dxa"/>
          <w:bottom w:w="0" w:type="dxa"/>
          <w:right w:w="108" w:type="dxa"/>
        </w:tblCellMar>
      </w:tblPr>
      <w:tblGrid>
        <w:gridCol w:w="842"/>
        <w:gridCol w:w="720"/>
        <w:gridCol w:w="720"/>
        <w:gridCol w:w="2520"/>
        <w:gridCol w:w="1980"/>
        <w:gridCol w:w="2135"/>
      </w:tblGrid>
      <w:tr>
        <w:tblPrEx>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0" w:type="dxa"/>
            <w:left w:w="108" w:type="dxa"/>
            <w:bottom w:w="0" w:type="dxa"/>
            <w:right w:w="108" w:type="dxa"/>
          </w:tblCellMar>
        </w:tblPrEx>
        <w:trPr>
          <w:trHeight w:val="450"/>
          <w:jc w:val="center"/>
        </w:trPr>
        <w:tc>
          <w:tcPr>
            <w:tcW w:w="2282" w:type="dxa"/>
            <w:gridSpan w:val="3"/>
            <w:vAlign w:val="center"/>
          </w:tcPr>
          <w:p>
            <w:pPr>
              <w:spacing w:line="240" w:lineRule="atLeast"/>
              <w:jc w:val="center"/>
              <w:rPr>
                <w:rFonts w:ascii="宋体" w:hAnsi="宋体"/>
                <w:szCs w:val="21"/>
              </w:rPr>
            </w:pPr>
            <w:r>
              <w:rPr>
                <w:rFonts w:ascii="宋体" w:hAnsi="宋体" w:hint="eastAsia"/>
                <w:szCs w:val="21"/>
              </w:rPr>
              <w:t>采购项目名称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ascii="宋体" w:hAnsi="宋体" w:hint="eastAsia"/>
                <w:szCs w:val="21"/>
              </w:rPr>
              <w:t>项目编号</w:t>
            </w:r>
          </w:p>
        </w:tc>
        <w:tc>
          <w:tcPr>
            <w:tcW w:w="2135" w:type="dxa"/>
            <w:vAlign w:val="center"/>
          </w:tcPr>
          <w:p>
            <w:pPr>
              <w:spacing w:line="240" w:lineRule="atLeast"/>
              <w:jc w:val="center"/>
              <w:rPr>
                <w:rFonts w:ascii="宋体" w:hAnsi="宋体"/>
                <w:szCs w:val="21"/>
              </w:rPr>
            </w:pPr>
          </w:p>
        </w:tc>
      </w:tr>
      <w:tr>
        <w:tblPrEx>
          <w:tblW w:w="8917" w:type="dxa"/>
          <w:jc w:val="center"/>
          <w:tblLayout w:type="fixed"/>
          <w:tblCellMar>
            <w:top w:w="0" w:type="dxa"/>
            <w:left w:w="108" w:type="dxa"/>
            <w:bottom w:w="0" w:type="dxa"/>
            <w:right w:w="108" w:type="dxa"/>
          </w:tblCellMar>
        </w:tblPrEx>
        <w:trPr>
          <w:trHeight w:val="461"/>
          <w:jc w:val="center"/>
        </w:trPr>
        <w:tc>
          <w:tcPr>
            <w:tcW w:w="2282" w:type="dxa"/>
            <w:gridSpan w:val="3"/>
            <w:vAlign w:val="center"/>
          </w:tcPr>
          <w:p>
            <w:pPr>
              <w:spacing w:line="240" w:lineRule="atLeast"/>
              <w:jc w:val="center"/>
              <w:rPr>
                <w:rFonts w:ascii="宋体" w:hAnsi="宋体"/>
                <w:szCs w:val="21"/>
              </w:rPr>
            </w:pPr>
            <w:r>
              <w:rPr>
                <w:rFonts w:ascii="宋体" w:hAnsi="宋体" w:hint="eastAsia"/>
                <w:szCs w:val="21"/>
              </w:rPr>
              <w:t>中标供应商名称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ascii="宋体" w:hAnsi="宋体" w:hint="eastAsia"/>
                <w:szCs w:val="21"/>
              </w:rPr>
              <w:t>供应商</w:t>
            </w:r>
          </w:p>
          <w:p>
            <w:pPr>
              <w:spacing w:line="240" w:lineRule="atLeast"/>
              <w:jc w:val="center"/>
              <w:rPr>
                <w:rFonts w:ascii="宋体" w:hAnsi="宋体"/>
                <w:szCs w:val="21"/>
              </w:rPr>
            </w:pPr>
            <w:r>
              <w:rPr>
                <w:rFonts w:ascii="宋体" w:hAnsi="宋体" w:hint="eastAsia"/>
                <w:szCs w:val="21"/>
              </w:rPr>
              <w:t>联系人及电话</w:t>
            </w:r>
          </w:p>
        </w:tc>
        <w:tc>
          <w:tcPr>
            <w:tcW w:w="2135" w:type="dxa"/>
            <w:vAlign w:val="center"/>
          </w:tcPr>
          <w:p>
            <w:pPr>
              <w:spacing w:line="240" w:lineRule="atLeast"/>
              <w:jc w:val="center"/>
              <w:rPr>
                <w:rFonts w:ascii="宋体" w:hAnsi="宋体"/>
                <w:szCs w:val="21"/>
              </w:rPr>
            </w:pPr>
          </w:p>
        </w:tc>
      </w:tr>
      <w:tr>
        <w:tblPrEx>
          <w:tblW w:w="8917" w:type="dxa"/>
          <w:jc w:val="center"/>
          <w:tblLayout w:type="fixed"/>
          <w:tblCellMar>
            <w:top w:w="0" w:type="dxa"/>
            <w:left w:w="108" w:type="dxa"/>
            <w:bottom w:w="0" w:type="dxa"/>
            <w:right w:w="108" w:type="dxa"/>
          </w:tblCellMar>
        </w:tblPrEx>
        <w:trPr>
          <w:trHeight w:val="438"/>
          <w:jc w:val="center"/>
        </w:trPr>
        <w:tc>
          <w:tcPr>
            <w:tcW w:w="2282" w:type="dxa"/>
            <w:gridSpan w:val="3"/>
            <w:vAlign w:val="center"/>
          </w:tcPr>
          <w:p>
            <w:pPr>
              <w:spacing w:line="240" w:lineRule="atLeast"/>
              <w:jc w:val="center"/>
              <w:rPr>
                <w:rFonts w:ascii="宋体" w:hAnsi="宋体"/>
                <w:szCs w:val="21"/>
              </w:rPr>
            </w:pPr>
            <w:r>
              <w:rPr>
                <w:rFonts w:ascii="宋体" w:hAnsi="宋体" w:hint="eastAsia"/>
                <w:szCs w:val="21"/>
              </w:rPr>
              <w:t>中标金额</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ascii="宋体" w:hAnsi="宋体" w:hint="eastAsia"/>
                <w:szCs w:val="21"/>
              </w:rPr>
              <w:t>合同履约时间</w:t>
            </w:r>
          </w:p>
        </w:tc>
        <w:tc>
          <w:tcPr>
            <w:tcW w:w="2135" w:type="dxa"/>
            <w:vAlign w:val="center"/>
          </w:tcPr>
          <w:p>
            <w:pPr>
              <w:spacing w:line="240" w:lineRule="atLeast"/>
              <w:rPr>
                <w:rFonts w:ascii="宋体" w:hAnsi="宋体"/>
                <w:szCs w:val="21"/>
              </w:rPr>
            </w:pPr>
            <w:r>
              <w:rPr>
                <w:rFonts w:ascii="宋体" w:hAnsi="宋体" w:hint="eastAsia"/>
                <w:szCs w:val="21"/>
              </w:rPr>
              <w:t>自       至</w:t>
            </w:r>
          </w:p>
        </w:tc>
      </w:tr>
      <w:tr>
        <w:tblPrEx>
          <w:tblW w:w="8917" w:type="dxa"/>
          <w:jc w:val="center"/>
          <w:tblLayout w:type="fixed"/>
          <w:tblCellMar>
            <w:top w:w="0" w:type="dxa"/>
            <w:left w:w="108" w:type="dxa"/>
            <w:bottom w:w="0" w:type="dxa"/>
            <w:right w:w="108" w:type="dxa"/>
          </w:tblCellMar>
        </w:tblPrEx>
        <w:trPr>
          <w:trHeight w:val="544"/>
          <w:jc w:val="center"/>
        </w:trPr>
        <w:tc>
          <w:tcPr>
            <w:tcW w:w="842" w:type="dxa"/>
            <w:vMerge w:val="restart"/>
            <w:vAlign w:val="center"/>
          </w:tcPr>
          <w:p>
            <w:pPr>
              <w:spacing w:line="240" w:lineRule="atLeast"/>
              <w:jc w:val="center"/>
              <w:rPr>
                <w:rFonts w:ascii="宋体" w:hAnsi="宋体"/>
                <w:b/>
                <w:szCs w:val="21"/>
              </w:rPr>
            </w:pPr>
            <w:r>
              <w:rPr>
                <w:rFonts w:ascii="宋体" w:hAnsi="宋体" w:hint="eastAsia"/>
                <w:b/>
                <w:szCs w:val="21"/>
              </w:rPr>
              <w:t>履约情况评价</w:t>
            </w:r>
          </w:p>
        </w:tc>
        <w:tc>
          <w:tcPr>
            <w:tcW w:w="1440" w:type="dxa"/>
            <w:gridSpan w:val="2"/>
            <w:tcBorders>
              <w:right w:val="single" w:sz="4" w:space="0" w:color="auto"/>
            </w:tcBorders>
            <w:vAlign w:val="center"/>
          </w:tcPr>
          <w:p>
            <w:pPr>
              <w:spacing w:line="240" w:lineRule="atLeast"/>
              <w:jc w:val="center"/>
              <w:rPr>
                <w:rFonts w:ascii="宋体" w:hAnsi="宋体"/>
                <w:szCs w:val="21"/>
              </w:rPr>
            </w:pPr>
            <w:r>
              <w:rPr>
                <w:rFonts w:ascii="宋体" w:hAnsi="宋体" w:hint="eastAsia"/>
                <w:szCs w:val="21"/>
              </w:rPr>
              <w:t>总体评价</w:t>
            </w:r>
          </w:p>
        </w:tc>
        <w:tc>
          <w:tcPr>
            <w:tcW w:w="6635" w:type="dxa"/>
            <w:gridSpan w:val="3"/>
            <w:tcBorders>
              <w:left w:val="single" w:sz="4" w:space="0" w:color="auto"/>
            </w:tcBorders>
            <w:vAlign w:val="center"/>
          </w:tcPr>
          <w:p>
            <w:pPr>
              <w:spacing w:line="240" w:lineRule="atLeast"/>
              <w:ind w:firstLine="105" w:firstLineChars="50"/>
              <w:jc w:val="center"/>
              <w:rPr>
                <w:rFonts w:ascii="宋体" w:hAnsi="宋体"/>
                <w:szCs w:val="21"/>
              </w:rPr>
            </w:pPr>
            <w:r>
              <w:rPr>
                <w:rFonts w:ascii="宋体" w:hAnsi="宋体" w:hint="eastAsia"/>
                <w:szCs w:val="21"/>
              </w:rPr>
              <w:t>□ 优          □ 良          □ 中           □ 差</w:t>
            </w:r>
          </w:p>
        </w:tc>
      </w:tr>
      <w:tr>
        <w:tblPrEx>
          <w:tblW w:w="8917" w:type="dxa"/>
          <w:jc w:val="center"/>
          <w:tblLayout w:type="fixed"/>
          <w:tblCellMar>
            <w:top w:w="0" w:type="dxa"/>
            <w:left w:w="108" w:type="dxa"/>
            <w:bottom w:w="0" w:type="dxa"/>
            <w:right w:w="108" w:type="dxa"/>
          </w:tblCellMar>
        </w:tblPrEx>
        <w:trPr>
          <w:trHeight w:val="458"/>
          <w:jc w:val="center"/>
        </w:trPr>
        <w:tc>
          <w:tcPr>
            <w:tcW w:w="842" w:type="dxa"/>
            <w:vMerge/>
            <w:vAlign w:val="center"/>
          </w:tcPr>
          <w:p>
            <w:pPr>
              <w:spacing w:line="240" w:lineRule="atLeast"/>
              <w:jc w:val="center"/>
              <w:rPr>
                <w:rFonts w:ascii="宋体" w:hAnsi="宋体"/>
                <w:szCs w:val="21"/>
              </w:rPr>
            </w:pPr>
          </w:p>
        </w:tc>
        <w:tc>
          <w:tcPr>
            <w:tcW w:w="720" w:type="dxa"/>
            <w:vMerge w:val="restart"/>
            <w:tcBorders>
              <w:right w:val="single" w:sz="4" w:space="0" w:color="auto"/>
            </w:tcBorders>
            <w:vAlign w:val="center"/>
          </w:tcPr>
          <w:p>
            <w:pPr>
              <w:spacing w:line="240" w:lineRule="atLeast"/>
              <w:jc w:val="center"/>
              <w:rPr>
                <w:rFonts w:ascii="宋体" w:hAnsi="宋体"/>
                <w:szCs w:val="21"/>
              </w:rPr>
            </w:pPr>
            <w:r>
              <w:rPr>
                <w:rFonts w:ascii="宋体" w:hAnsi="宋体" w:hint="eastAsia"/>
                <w:szCs w:val="21"/>
              </w:rPr>
              <w:t>分项评价</w:t>
            </w:r>
          </w:p>
        </w:tc>
        <w:tc>
          <w:tcPr>
            <w:tcW w:w="720" w:type="dxa"/>
            <w:tcBorders>
              <w:left w:val="single" w:sz="4" w:space="0" w:color="auto"/>
              <w:right w:val="single" w:sz="4" w:space="0" w:color="auto"/>
            </w:tcBorders>
            <w:vAlign w:val="center"/>
          </w:tcPr>
          <w:p>
            <w:pPr>
              <w:spacing w:line="240" w:lineRule="atLeast"/>
              <w:jc w:val="center"/>
              <w:rPr>
                <w:rFonts w:ascii="宋体" w:hAnsi="宋体"/>
                <w:szCs w:val="21"/>
              </w:rPr>
            </w:pPr>
            <w:r>
              <w:rPr>
                <w:rFonts w:ascii="宋体" w:hAnsi="宋体" w:hint="eastAsia"/>
                <w:szCs w:val="21"/>
              </w:rPr>
              <w:t>质量方面</w:t>
            </w:r>
          </w:p>
        </w:tc>
        <w:tc>
          <w:tcPr>
            <w:tcW w:w="6635" w:type="dxa"/>
            <w:gridSpan w:val="3"/>
            <w:tcBorders>
              <w:left w:val="single" w:sz="4" w:space="0" w:color="auto"/>
            </w:tcBorders>
            <w:vAlign w:val="center"/>
          </w:tcPr>
          <w:p>
            <w:pPr>
              <w:spacing w:line="240" w:lineRule="atLeast"/>
              <w:jc w:val="center"/>
              <w:rPr>
                <w:rFonts w:ascii="宋体" w:hAnsi="宋体"/>
                <w:szCs w:val="21"/>
              </w:rPr>
            </w:pPr>
            <w:r>
              <w:rPr>
                <w:rFonts w:ascii="宋体" w:hAnsi="宋体" w:hint="eastAsia"/>
                <w:szCs w:val="21"/>
              </w:rPr>
              <w:t xml:space="preserve"> □ 优          □ 良          □ 中           □ 差</w:t>
            </w:r>
          </w:p>
        </w:tc>
      </w:tr>
      <w:tr>
        <w:tblPrEx>
          <w:tblW w:w="8917" w:type="dxa"/>
          <w:jc w:val="center"/>
          <w:tblLayout w:type="fixed"/>
          <w:tblCellMar>
            <w:top w:w="0" w:type="dxa"/>
            <w:left w:w="108" w:type="dxa"/>
            <w:bottom w:w="0" w:type="dxa"/>
            <w:right w:w="108" w:type="dxa"/>
          </w:tblCellMar>
        </w:tblPrEx>
        <w:trPr>
          <w:trHeight w:val="458"/>
          <w:jc w:val="center"/>
        </w:trPr>
        <w:tc>
          <w:tcPr>
            <w:tcW w:w="842" w:type="dxa"/>
            <w:vMerge/>
            <w:vAlign w:val="center"/>
          </w:tcPr>
          <w:p>
            <w:pPr>
              <w:spacing w:line="240" w:lineRule="atLeast"/>
              <w:jc w:val="center"/>
              <w:rPr>
                <w:rFonts w:ascii="宋体" w:hAnsi="宋体"/>
                <w:szCs w:val="21"/>
              </w:rPr>
            </w:pPr>
          </w:p>
        </w:tc>
        <w:tc>
          <w:tcPr>
            <w:tcW w:w="720" w:type="dxa"/>
            <w:vMerge/>
            <w:tcBorders>
              <w:right w:val="single" w:sz="4" w:space="0" w:color="auto"/>
            </w:tcBorders>
            <w:vAlign w:val="center"/>
          </w:tcPr>
          <w:p>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pPr>
              <w:spacing w:line="240" w:lineRule="atLeast"/>
              <w:jc w:val="center"/>
              <w:rPr>
                <w:rFonts w:ascii="宋体" w:hAnsi="宋体"/>
                <w:szCs w:val="21"/>
              </w:rPr>
            </w:pPr>
            <w:r>
              <w:rPr>
                <w:rFonts w:ascii="宋体" w:hAnsi="宋体" w:hint="eastAsia"/>
                <w:szCs w:val="21"/>
              </w:rPr>
              <w:t>价格方面</w:t>
            </w:r>
          </w:p>
        </w:tc>
        <w:tc>
          <w:tcPr>
            <w:tcW w:w="6635" w:type="dxa"/>
            <w:gridSpan w:val="3"/>
            <w:tcBorders>
              <w:left w:val="single" w:sz="4" w:space="0" w:color="auto"/>
            </w:tcBorders>
            <w:vAlign w:val="center"/>
          </w:tcPr>
          <w:p>
            <w:pPr>
              <w:spacing w:line="240" w:lineRule="atLeast"/>
              <w:jc w:val="center"/>
              <w:rPr>
                <w:rFonts w:ascii="宋体" w:hAnsi="宋体"/>
                <w:szCs w:val="21"/>
              </w:rPr>
            </w:pPr>
            <w:r>
              <w:rPr>
                <w:rFonts w:ascii="宋体" w:hAnsi="宋体" w:hint="eastAsia"/>
                <w:szCs w:val="21"/>
              </w:rPr>
              <w:t xml:space="preserve"> □ 优          □ 良          □ 中           □ 差</w:t>
            </w:r>
          </w:p>
        </w:tc>
      </w:tr>
      <w:tr>
        <w:tblPrEx>
          <w:tblW w:w="8917" w:type="dxa"/>
          <w:jc w:val="center"/>
          <w:tblLayout w:type="fixed"/>
          <w:tblCellMar>
            <w:top w:w="0" w:type="dxa"/>
            <w:left w:w="108" w:type="dxa"/>
            <w:bottom w:w="0" w:type="dxa"/>
            <w:right w:w="108" w:type="dxa"/>
          </w:tblCellMar>
        </w:tblPrEx>
        <w:trPr>
          <w:trHeight w:val="458"/>
          <w:jc w:val="center"/>
        </w:trPr>
        <w:tc>
          <w:tcPr>
            <w:tcW w:w="842" w:type="dxa"/>
            <w:vMerge/>
            <w:vAlign w:val="center"/>
          </w:tcPr>
          <w:p>
            <w:pPr>
              <w:spacing w:line="240" w:lineRule="atLeast"/>
              <w:jc w:val="center"/>
              <w:rPr>
                <w:rFonts w:ascii="宋体" w:hAnsi="宋体"/>
                <w:szCs w:val="21"/>
              </w:rPr>
            </w:pPr>
          </w:p>
        </w:tc>
        <w:tc>
          <w:tcPr>
            <w:tcW w:w="720" w:type="dxa"/>
            <w:vMerge/>
            <w:tcBorders>
              <w:right w:val="single" w:sz="4" w:space="0" w:color="auto"/>
            </w:tcBorders>
            <w:vAlign w:val="center"/>
          </w:tcPr>
          <w:p>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pPr>
              <w:spacing w:line="240" w:lineRule="atLeast"/>
              <w:jc w:val="center"/>
              <w:rPr>
                <w:rFonts w:ascii="宋体" w:hAnsi="宋体"/>
                <w:szCs w:val="21"/>
              </w:rPr>
            </w:pPr>
            <w:r>
              <w:rPr>
                <w:rFonts w:ascii="宋体" w:hAnsi="宋体" w:hint="eastAsia"/>
                <w:szCs w:val="21"/>
              </w:rPr>
              <w:t>服务方面</w:t>
            </w:r>
          </w:p>
        </w:tc>
        <w:tc>
          <w:tcPr>
            <w:tcW w:w="6635" w:type="dxa"/>
            <w:gridSpan w:val="3"/>
            <w:tcBorders>
              <w:left w:val="single" w:sz="4" w:space="0" w:color="auto"/>
            </w:tcBorders>
            <w:vAlign w:val="center"/>
          </w:tcPr>
          <w:p>
            <w:pPr>
              <w:spacing w:line="240" w:lineRule="atLeast"/>
              <w:jc w:val="center"/>
              <w:rPr>
                <w:rFonts w:ascii="宋体" w:hAnsi="宋体"/>
                <w:szCs w:val="21"/>
              </w:rPr>
            </w:pPr>
            <w:r>
              <w:rPr>
                <w:rFonts w:ascii="宋体" w:hAnsi="宋体" w:hint="eastAsia"/>
                <w:szCs w:val="21"/>
              </w:rPr>
              <w:t xml:space="preserve"> □ 优          □ 良          □ 中           □ 差</w:t>
            </w:r>
          </w:p>
        </w:tc>
      </w:tr>
      <w:tr>
        <w:tblPrEx>
          <w:tblW w:w="8917" w:type="dxa"/>
          <w:jc w:val="center"/>
          <w:tblLayout w:type="fixed"/>
          <w:tblCellMar>
            <w:top w:w="0" w:type="dxa"/>
            <w:left w:w="108" w:type="dxa"/>
            <w:bottom w:w="0" w:type="dxa"/>
            <w:right w:w="108" w:type="dxa"/>
          </w:tblCellMar>
        </w:tblPrEx>
        <w:trPr>
          <w:trHeight w:val="458"/>
          <w:jc w:val="center"/>
        </w:trPr>
        <w:tc>
          <w:tcPr>
            <w:tcW w:w="842" w:type="dxa"/>
            <w:vMerge/>
            <w:vAlign w:val="center"/>
          </w:tcPr>
          <w:p>
            <w:pPr>
              <w:spacing w:line="240" w:lineRule="atLeast"/>
              <w:jc w:val="center"/>
              <w:rPr>
                <w:rFonts w:ascii="宋体" w:hAnsi="宋体"/>
                <w:szCs w:val="21"/>
              </w:rPr>
            </w:pPr>
          </w:p>
        </w:tc>
        <w:tc>
          <w:tcPr>
            <w:tcW w:w="720" w:type="dxa"/>
            <w:vMerge/>
            <w:tcBorders>
              <w:right w:val="single" w:sz="4" w:space="0" w:color="auto"/>
            </w:tcBorders>
            <w:vAlign w:val="center"/>
          </w:tcPr>
          <w:p>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pPr>
              <w:spacing w:line="240" w:lineRule="atLeast"/>
              <w:jc w:val="center"/>
              <w:rPr>
                <w:rFonts w:ascii="宋体" w:hAnsi="宋体"/>
                <w:szCs w:val="21"/>
              </w:rPr>
            </w:pPr>
            <w:r>
              <w:rPr>
                <w:rFonts w:ascii="宋体" w:hAnsi="宋体" w:hint="eastAsia"/>
                <w:szCs w:val="21"/>
              </w:rPr>
              <w:t>时间方面</w:t>
            </w:r>
          </w:p>
        </w:tc>
        <w:tc>
          <w:tcPr>
            <w:tcW w:w="6635" w:type="dxa"/>
            <w:gridSpan w:val="3"/>
            <w:tcBorders>
              <w:left w:val="single" w:sz="4" w:space="0" w:color="auto"/>
            </w:tcBorders>
            <w:vAlign w:val="center"/>
          </w:tcPr>
          <w:p>
            <w:pPr>
              <w:spacing w:line="240" w:lineRule="atLeast"/>
              <w:jc w:val="center"/>
              <w:rPr>
                <w:rFonts w:ascii="宋体" w:hAnsi="宋体"/>
                <w:szCs w:val="21"/>
              </w:rPr>
            </w:pPr>
            <w:r>
              <w:rPr>
                <w:rFonts w:ascii="宋体" w:hAnsi="宋体" w:hint="eastAsia"/>
                <w:szCs w:val="21"/>
              </w:rPr>
              <w:t xml:space="preserve"> □ 优          □ 良          □ 中           □ 差</w:t>
            </w:r>
          </w:p>
        </w:tc>
      </w:tr>
      <w:tr>
        <w:tblPrEx>
          <w:tblW w:w="8917" w:type="dxa"/>
          <w:jc w:val="center"/>
          <w:tblLayout w:type="fixed"/>
          <w:tblCellMar>
            <w:top w:w="0" w:type="dxa"/>
            <w:left w:w="108" w:type="dxa"/>
            <w:bottom w:w="0" w:type="dxa"/>
            <w:right w:w="108" w:type="dxa"/>
          </w:tblCellMar>
        </w:tblPrEx>
        <w:trPr>
          <w:trHeight w:val="458"/>
          <w:jc w:val="center"/>
        </w:trPr>
        <w:tc>
          <w:tcPr>
            <w:tcW w:w="842" w:type="dxa"/>
            <w:vMerge/>
            <w:vAlign w:val="center"/>
          </w:tcPr>
          <w:p>
            <w:pPr>
              <w:spacing w:line="240" w:lineRule="atLeast"/>
              <w:jc w:val="center"/>
              <w:rPr>
                <w:rFonts w:ascii="宋体" w:hAnsi="宋体"/>
                <w:szCs w:val="21"/>
              </w:rPr>
            </w:pPr>
          </w:p>
        </w:tc>
        <w:tc>
          <w:tcPr>
            <w:tcW w:w="720" w:type="dxa"/>
            <w:vMerge/>
            <w:tcBorders>
              <w:right w:val="single" w:sz="4" w:space="0" w:color="auto"/>
            </w:tcBorders>
            <w:vAlign w:val="center"/>
          </w:tcPr>
          <w:p>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pPr>
              <w:spacing w:line="240" w:lineRule="atLeast"/>
              <w:jc w:val="center"/>
              <w:rPr>
                <w:rFonts w:ascii="宋体" w:hAnsi="宋体"/>
                <w:szCs w:val="21"/>
              </w:rPr>
            </w:pPr>
            <w:r>
              <w:rPr>
                <w:rFonts w:ascii="宋体" w:hAnsi="宋体" w:hint="eastAsia"/>
                <w:szCs w:val="21"/>
              </w:rPr>
              <w:t>环境保护</w:t>
            </w:r>
          </w:p>
        </w:tc>
        <w:tc>
          <w:tcPr>
            <w:tcW w:w="6635" w:type="dxa"/>
            <w:gridSpan w:val="3"/>
            <w:tcBorders>
              <w:left w:val="single" w:sz="4" w:space="0" w:color="auto"/>
            </w:tcBorders>
            <w:vAlign w:val="center"/>
          </w:tcPr>
          <w:p>
            <w:pPr>
              <w:spacing w:line="240" w:lineRule="atLeast"/>
              <w:jc w:val="center"/>
              <w:rPr>
                <w:rFonts w:ascii="宋体" w:hAnsi="宋体"/>
                <w:szCs w:val="21"/>
              </w:rPr>
            </w:pPr>
            <w:r>
              <w:rPr>
                <w:rFonts w:ascii="宋体" w:hAnsi="宋体" w:hint="eastAsia"/>
                <w:szCs w:val="21"/>
              </w:rPr>
              <w:t xml:space="preserve"> □ 优          □ 良          □ 中           □ 差</w:t>
            </w:r>
          </w:p>
        </w:tc>
      </w:tr>
      <w:tr>
        <w:tblPrEx>
          <w:tblW w:w="8917" w:type="dxa"/>
          <w:jc w:val="center"/>
          <w:tblLayout w:type="fixed"/>
          <w:tblCellMar>
            <w:top w:w="0" w:type="dxa"/>
            <w:left w:w="108" w:type="dxa"/>
            <w:bottom w:w="0" w:type="dxa"/>
            <w:right w:w="108" w:type="dxa"/>
          </w:tblCellMar>
        </w:tblPrEx>
        <w:trPr>
          <w:trHeight w:val="458"/>
          <w:jc w:val="center"/>
        </w:trPr>
        <w:tc>
          <w:tcPr>
            <w:tcW w:w="842" w:type="dxa"/>
            <w:vMerge/>
            <w:vAlign w:val="center"/>
          </w:tcPr>
          <w:p>
            <w:pPr>
              <w:spacing w:line="240" w:lineRule="atLeast"/>
              <w:jc w:val="center"/>
              <w:rPr>
                <w:rFonts w:ascii="宋体" w:hAnsi="宋体"/>
                <w:szCs w:val="21"/>
              </w:rPr>
            </w:pPr>
          </w:p>
        </w:tc>
        <w:tc>
          <w:tcPr>
            <w:tcW w:w="720" w:type="dxa"/>
            <w:vMerge/>
            <w:tcBorders>
              <w:right w:val="single" w:sz="4" w:space="0" w:color="auto"/>
            </w:tcBorders>
            <w:vAlign w:val="center"/>
          </w:tcPr>
          <w:p>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pPr>
              <w:spacing w:line="240" w:lineRule="atLeast"/>
              <w:jc w:val="center"/>
              <w:rPr>
                <w:rFonts w:ascii="宋体" w:hAnsi="宋体"/>
                <w:szCs w:val="21"/>
              </w:rPr>
            </w:pPr>
            <w:r>
              <w:rPr>
                <w:rFonts w:ascii="宋体" w:hAnsi="宋体" w:hint="eastAsia"/>
                <w:szCs w:val="21"/>
              </w:rPr>
              <w:t>其他</w:t>
            </w:r>
          </w:p>
        </w:tc>
        <w:tc>
          <w:tcPr>
            <w:tcW w:w="6635" w:type="dxa"/>
            <w:gridSpan w:val="3"/>
            <w:tcBorders>
              <w:left w:val="single" w:sz="4" w:space="0" w:color="auto"/>
            </w:tcBorders>
            <w:vAlign w:val="center"/>
          </w:tcPr>
          <w:p>
            <w:pPr>
              <w:spacing w:before="156" w:beforeLines="50" w:after="156" w:afterLines="50" w:line="240" w:lineRule="atLeast"/>
              <w:rPr>
                <w:rFonts w:ascii="宋体" w:hAnsi="宋体"/>
                <w:szCs w:val="21"/>
                <w:u w:val="single"/>
              </w:rPr>
            </w:pPr>
            <w:r>
              <w:rPr>
                <w:rFonts w:ascii="宋体" w:hAnsi="宋体" w:hint="eastAsia"/>
                <w:szCs w:val="21"/>
              </w:rPr>
              <w:t>评价内容为：</w:t>
            </w:r>
            <w:r>
              <w:rPr>
                <w:rFonts w:ascii="宋体" w:hAnsi="宋体" w:hint="eastAsia"/>
                <w:szCs w:val="21"/>
                <w:u w:val="single"/>
              </w:rPr>
              <w:t xml:space="preserve">                    </w:t>
            </w:r>
          </w:p>
          <w:p>
            <w:pPr>
              <w:spacing w:before="156" w:beforeLines="50" w:after="156" w:afterLines="50" w:line="240" w:lineRule="atLeast"/>
              <w:rPr>
                <w:rFonts w:ascii="宋体" w:hAnsi="宋体"/>
                <w:szCs w:val="21"/>
              </w:rPr>
            </w:pPr>
            <w:r>
              <w:rPr>
                <w:rFonts w:ascii="宋体" w:hAnsi="宋体" w:hint="eastAsia"/>
                <w:szCs w:val="21"/>
              </w:rPr>
              <w:t>评价等级为：  □ 优       □ 良        □ 中         □ 差</w:t>
            </w:r>
          </w:p>
        </w:tc>
      </w:tr>
      <w:tr>
        <w:tblPrEx>
          <w:tblW w:w="8917" w:type="dxa"/>
          <w:jc w:val="center"/>
          <w:tblLayout w:type="fixed"/>
          <w:tblCellMar>
            <w:top w:w="0" w:type="dxa"/>
            <w:left w:w="108" w:type="dxa"/>
            <w:bottom w:w="0" w:type="dxa"/>
            <w:right w:w="108" w:type="dxa"/>
          </w:tblCellMar>
        </w:tblPrEx>
        <w:trPr>
          <w:trHeight w:val="3261"/>
          <w:jc w:val="center"/>
        </w:trPr>
        <w:tc>
          <w:tcPr>
            <w:tcW w:w="1562" w:type="dxa"/>
            <w:gridSpan w:val="2"/>
            <w:vAlign w:val="center"/>
          </w:tcPr>
          <w:p>
            <w:pPr>
              <w:spacing w:line="240" w:lineRule="atLeast"/>
              <w:jc w:val="center"/>
              <w:rPr>
                <w:rFonts w:ascii="宋体" w:hAnsi="宋体"/>
                <w:szCs w:val="21"/>
              </w:rPr>
            </w:pPr>
            <w:r>
              <w:rPr>
                <w:rFonts w:ascii="宋体" w:hAnsi="宋体" w:hint="eastAsia"/>
                <w:szCs w:val="21"/>
              </w:rPr>
              <w:t>具体情况说明</w:t>
            </w:r>
          </w:p>
        </w:tc>
        <w:tc>
          <w:tcPr>
            <w:tcW w:w="7355" w:type="dxa"/>
            <w:gridSpan w:val="4"/>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tc>
      </w:tr>
      <w:tr>
        <w:tblPrEx>
          <w:tblW w:w="8917" w:type="dxa"/>
          <w:jc w:val="center"/>
          <w:tblLayout w:type="fixed"/>
          <w:tblCellMar>
            <w:top w:w="0" w:type="dxa"/>
            <w:left w:w="108" w:type="dxa"/>
            <w:bottom w:w="0" w:type="dxa"/>
            <w:right w:w="108" w:type="dxa"/>
          </w:tblCellMar>
        </w:tblPrEx>
        <w:trPr>
          <w:trHeight w:val="1809"/>
          <w:jc w:val="center"/>
        </w:trPr>
        <w:tc>
          <w:tcPr>
            <w:tcW w:w="1562" w:type="dxa"/>
            <w:gridSpan w:val="2"/>
            <w:vAlign w:val="center"/>
          </w:tcPr>
          <w:p>
            <w:pPr>
              <w:spacing w:line="240" w:lineRule="atLeast"/>
              <w:jc w:val="center"/>
              <w:rPr>
                <w:rFonts w:ascii="宋体" w:hAnsi="宋体"/>
                <w:szCs w:val="21"/>
              </w:rPr>
            </w:pPr>
            <w:r>
              <w:rPr>
                <w:rFonts w:ascii="宋体" w:hAnsi="宋体" w:hint="eastAsia"/>
                <w:szCs w:val="21"/>
              </w:rPr>
              <w:t>采购人意见</w:t>
            </w:r>
          </w:p>
          <w:p>
            <w:pPr>
              <w:spacing w:line="240" w:lineRule="atLeast"/>
              <w:jc w:val="center"/>
              <w:rPr>
                <w:rFonts w:ascii="宋体" w:hAnsi="宋体"/>
                <w:szCs w:val="21"/>
              </w:rPr>
            </w:pPr>
            <w:r>
              <w:rPr>
                <w:rFonts w:ascii="宋体" w:hAnsi="宋体" w:hint="eastAsia"/>
                <w:szCs w:val="21"/>
              </w:rPr>
              <w:t>（公章）</w:t>
            </w:r>
          </w:p>
        </w:tc>
        <w:tc>
          <w:tcPr>
            <w:tcW w:w="7355" w:type="dxa"/>
            <w:gridSpan w:val="4"/>
            <w:vAlign w:val="center"/>
          </w:tcPr>
          <w:p>
            <w:pPr>
              <w:spacing w:line="240" w:lineRule="atLeast"/>
              <w:rPr>
                <w:rFonts w:ascii="宋体" w:hAnsi="宋体"/>
                <w:szCs w:val="21"/>
              </w:rPr>
            </w:pPr>
          </w:p>
          <w:p>
            <w:pPr>
              <w:spacing w:line="240" w:lineRule="atLeast"/>
              <w:rPr>
                <w:rFonts w:ascii="宋体" w:hAnsi="宋体"/>
                <w:szCs w:val="21"/>
              </w:rPr>
            </w:pPr>
            <w:r>
              <w:rPr>
                <w:rFonts w:ascii="宋体" w:hAnsi="宋体" w:hint="eastAsia"/>
                <w:szCs w:val="21"/>
              </w:rPr>
              <w:t xml:space="preserve">                                        </w:t>
            </w:r>
          </w:p>
          <w:p>
            <w:pPr>
              <w:spacing w:line="240" w:lineRule="atLeast"/>
              <w:ind w:firstLine="3780" w:firstLineChars="1800"/>
              <w:rPr>
                <w:rFonts w:ascii="宋体" w:hAnsi="宋体"/>
                <w:szCs w:val="21"/>
              </w:rPr>
            </w:pPr>
          </w:p>
          <w:p>
            <w:pPr>
              <w:spacing w:line="240" w:lineRule="atLeast"/>
              <w:ind w:firstLine="3780" w:firstLineChars="1800"/>
              <w:rPr>
                <w:rFonts w:ascii="宋体" w:hAnsi="宋体"/>
                <w:szCs w:val="21"/>
              </w:rPr>
            </w:pPr>
            <w:r>
              <w:rPr>
                <w:rFonts w:ascii="宋体" w:hAnsi="宋体" w:hint="eastAsia"/>
                <w:szCs w:val="21"/>
              </w:rPr>
              <w:t>日期：   年   月   日</w:t>
            </w:r>
          </w:p>
        </w:tc>
      </w:tr>
    </w:tbl>
    <w:p>
      <w:pPr>
        <w:spacing w:line="240" w:lineRule="atLeast"/>
        <w:rPr>
          <w:rFonts w:ascii="宋体" w:hAnsi="宋体"/>
          <w:szCs w:val="21"/>
        </w:rPr>
      </w:pPr>
      <w:r>
        <w:rPr>
          <w:rFonts w:ascii="宋体" w:hAnsi="宋体" w:hint="eastAsia"/>
          <w:szCs w:val="21"/>
        </w:rPr>
        <w:t>说明：</w:t>
      </w:r>
    </w:p>
    <w:p>
      <w:pPr>
        <w:spacing w:line="240" w:lineRule="atLeast"/>
        <w:rPr>
          <w:rFonts w:ascii="宋体" w:hAnsi="宋体"/>
          <w:szCs w:val="21"/>
        </w:rPr>
      </w:pPr>
      <w:r>
        <w:rPr>
          <w:rFonts w:ascii="宋体" w:hAnsi="宋体" w:hint="eastAsia"/>
          <w:szCs w:val="21"/>
        </w:rPr>
        <w:t>履约情况评价分为优、良、中、差四个等级，请在对应的框前打“√”，然后在“具体情况说明”一栏详细说明有关情况。</w:t>
      </w:r>
      <w:r>
        <w:rPr>
          <w:rFonts w:ascii="宋体" w:hAnsi="宋体"/>
          <w:szCs w:val="21"/>
        </w:rPr>
        <w:tab/>
      </w:r>
      <w:r>
        <w:rPr>
          <w:rFonts w:ascii="宋体" w:hAnsi="宋体"/>
          <w:szCs w:val="21"/>
        </w:rPr>
        <w:tab/>
      </w:r>
    </w:p>
    <w:p>
      <w:pPr>
        <w:spacing w:line="240" w:lineRule="atLeast"/>
        <w:rPr>
          <w:rFonts w:ascii="宋体" w:hAnsi="宋体"/>
          <w:szCs w:val="21"/>
        </w:rPr>
        <w:sectPr>
          <w:footerReference w:type="default" r:id="rId7"/>
          <w:pgSz w:w="11906" w:h="16838"/>
          <w:pgMar w:top="1440" w:right="1417" w:bottom="1440" w:left="1417" w:header="851" w:footer="992" w:gutter="0"/>
          <w:pgBorders>
            <w:top w:val="nil"/>
            <w:left w:val="nil"/>
            <w:bottom w:val="nil"/>
            <w:right w:val="nil"/>
          </w:pgBorders>
          <w:cols w:num="1" w:space="720"/>
          <w:titlePg/>
          <w:docGrid w:type="lines" w:linePitch="312" w:charSpace="0"/>
        </w:sectPr>
      </w:pPr>
    </w:p>
    <w:p>
      <w:pPr>
        <w:jc w:val="center"/>
        <w:rPr>
          <w:rFonts w:ascii="宋体" w:hAnsi="宋体"/>
          <w:b/>
          <w:bCs/>
          <w:kern w:val="0"/>
          <w:sz w:val="24"/>
          <w:szCs w:val="20"/>
        </w:rPr>
      </w:pPr>
      <w:r>
        <w:rPr>
          <w:rFonts w:ascii="宋体" w:hAnsi="宋体" w:hint="eastAsia"/>
          <w:b/>
          <w:bCs/>
          <w:kern w:val="0"/>
          <w:sz w:val="24"/>
          <w:szCs w:val="20"/>
        </w:rPr>
        <w:t>第五章  附件</w:t>
      </w:r>
    </w:p>
    <w:p>
      <w:pPr>
        <w:jc w:val="center"/>
        <w:rPr>
          <w:rFonts w:ascii="宋体" w:hAnsi="宋体"/>
          <w:b/>
          <w:bCs/>
          <w:kern w:val="0"/>
          <w:sz w:val="24"/>
          <w:szCs w:val="20"/>
        </w:rPr>
      </w:pPr>
    </w:p>
    <w:p>
      <w:pPr>
        <w:pStyle w:val="Heading3"/>
        <w:spacing w:before="0" w:after="0"/>
        <w:jc w:val="center"/>
      </w:pPr>
      <w:bookmarkStart w:id="22" w:name="_Toc73610162"/>
      <w:bookmarkStart w:id="23" w:name="_Toc73613644"/>
      <w:r>
        <w:rPr>
          <w:rFonts w:hint="eastAsia"/>
        </w:rPr>
        <w:t>一、财政部 工业和信息化部关于印发《政府采购促进中小企业发展管理办法》的通知</w:t>
      </w:r>
      <w:bookmarkEnd w:id="22"/>
      <w:bookmarkEnd w:id="23"/>
    </w:p>
    <w:p>
      <w:pPr>
        <w:pStyle w:val="NormalWeb"/>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pPr>
        <w:pStyle w:val="NormalWeb"/>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pPr>
        <w:pStyle w:val="NormalWeb"/>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pPr>
        <w:pStyle w:val="NormalWeb"/>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pPr>
        <w:pStyle w:val="NormalWeb"/>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pPr>
        <w:pStyle w:val="NormalWeb"/>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pPr>
        <w:pStyle w:val="NormalWeb"/>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为了发挥政府采购的政策功能，促进中小企业健康发展，根据《中华人民共和国政府采购法》、《中华人民共和国中小企业促进法》等有关法律法规，制定本办法。</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在政府采购活动中，供应商提供的货物、工程或者服务符合下列情形的，享受本办法规定的中小企业扶持政策：</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（一）在货物采购项目中，货物由中小企业制造，即货物由中小企业生产且使用该中小企业商号或者注册商标；</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采购限额标准以上，200万元以下的货物和服务采购项目、400万元以下的工程采购项目，适宜由中小企业提供的，采购人应当专门面向中小企业采购。</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（二）要求供应商以联合体形式参加采购活动，且联合体中中小企业承担的部分达到一定比例；</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采购项目涉及中小企业采购的，采购文件应当明确以下内容：</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（二）要求以联合体形式参加或者合同分包的，明确联合协议或者分包意向协议中中小企业合同金额应当达到的比例，并作为供应商资格条件；</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中标、成交供应商享受本办法规定的中小企业扶持政策的，采购人、采购代理机构应当随中标、成交结果公开中标、成交供应商的《中小企业声明函》。</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第二十条</w:t>
      </w:r>
      <w:r>
        <w:rPr>
          <w:rFonts w:asciiTheme="minorEastAsia" w:eastAsiaTheme="minorEastAsia" w:hAnsiTheme="minorEastAsia" w:hint="eastAsia"/>
          <w:color w:val="333333"/>
          <w:sz w:val="21"/>
          <w:szCs w:val="21"/>
        </w:rPr>
        <w:t>　供应商按照本办法规定提供声明函内容不实的，属于提供虚假材料谋取中标、成交，依照《中华人民共和国政府采购法》等国家有关规定追究相应责任。</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对外援助项目、国家相关资格或者资质管理制度另有规定的项目，不适用本办法。</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关于视同中小企业的其他主体的政府采购扶持政策，由财政部会同有关部门另行规定。</w:t>
      </w:r>
    </w:p>
    <w:p>
      <w:pPr>
        <w:pStyle w:val="NormalWeb"/>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省级财政部门可以会同中小企业主管部门根据本办法的规定制定具体实施办法。</w:t>
      </w:r>
    </w:p>
    <w:p>
      <w:pPr>
        <w:pStyle w:val="NormalWeb"/>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本办法自2021年1月1日起施行。《财政部 工业和信息化部关于印发〈政府采购促进中小企业发展暂行办法〉的通知》（财库〔2011〕181号）同时废止。</w:t>
      </w:r>
    </w:p>
    <w:p>
      <w:pPr>
        <w:pStyle w:val="NormalWeb"/>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pPr>
        <w:spacing w:line="360" w:lineRule="auto"/>
        <w:rPr>
          <w:rFonts w:asciiTheme="minorEastAsia" w:eastAsiaTheme="minorEastAsia" w:hAnsiTheme="minorEastAsia"/>
          <w:szCs w:val="21"/>
        </w:rPr>
      </w:pPr>
    </w:p>
    <w:p>
      <w:pPr>
        <w:pStyle w:val="Heading3"/>
        <w:spacing w:before="0" w:after="0"/>
        <w:jc w:val="center"/>
      </w:pPr>
      <w:bookmarkStart w:id="24" w:name="_Toc73613645"/>
      <w:bookmarkStart w:id="25" w:name="_Toc73610163"/>
      <w:r>
        <w:rPr>
          <w:rFonts w:hint="eastAsia"/>
        </w:rPr>
        <w:t>二、关于印发中小企业划型标准规定的通知</w:t>
      </w:r>
      <w:bookmarkEnd w:id="24"/>
      <w:bookmarkEnd w:id="25"/>
    </w:p>
    <w:p>
      <w:pPr>
        <w:pStyle w:val="NormalWeb"/>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pPr>
        <w:pStyle w:val="NormalWeb"/>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NormalWeb"/>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工业和信息化部　国家统计局</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国家发展和改革委员会　财政部</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二○一一年六月十八日</w:t>
      </w:r>
    </w:p>
    <w:p>
      <w:pPr>
        <w:pStyle w:val="NormalWeb"/>
        <w:shd w:val="clear" w:color="auto" w:fill="FFFFFF"/>
        <w:spacing w:line="360" w:lineRule="auto"/>
        <w:jc w:val="center"/>
        <w:rPr>
          <w:rFonts w:asciiTheme="minorEastAsia" w:eastAsiaTheme="minorEastAsia" w:hAnsiTheme="minorEastAsia"/>
          <w:color w:val="000000"/>
          <w:sz w:val="21"/>
          <w:szCs w:val="21"/>
        </w:rPr>
      </w:pPr>
      <w:r>
        <w:rPr>
          <w:rStyle w:val="Strong"/>
          <w:rFonts w:asciiTheme="minorEastAsia" w:eastAsiaTheme="minorEastAsia" w:hAnsiTheme="minorEastAsia" w:hint="eastAsia"/>
          <w:color w:val="000000"/>
          <w:sz w:val="21"/>
          <w:szCs w:val="21"/>
        </w:rPr>
        <w:t>中小企业划型标准规定</w:t>
      </w:r>
    </w:p>
    <w:p>
      <w:pPr>
        <w:pStyle w:val="NormalWeb"/>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四、各行业划型标准为：</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五、企业类型的划分以统计部门的统计数据为依据。</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九、本规定由工业和信息化部、国家统计局会同有关部门负责解释。</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十、本规定自发布之日起执行，原国家经贸委、原国家计委、财政部和国家统计局2003年颁布的《中小企业标准暂行规定》同时废止。</w:t>
      </w:r>
    </w:p>
    <w:p>
      <w:pPr>
        <w:pStyle w:val="NormalWeb"/>
        <w:shd w:val="clear" w:color="auto" w:fill="FFFFFF"/>
        <w:spacing w:line="360" w:lineRule="auto"/>
        <w:rPr>
          <w:rFonts w:asciiTheme="minorEastAsia" w:eastAsiaTheme="minorEastAsia" w:hAnsiTheme="minorEastAsia"/>
          <w:color w:val="000000"/>
          <w:sz w:val="21"/>
          <w:szCs w:val="21"/>
        </w:rPr>
      </w:pPr>
    </w:p>
    <w:p>
      <w:pPr>
        <w:pStyle w:val="Heading3"/>
        <w:spacing w:before="0" w:after="0"/>
        <w:jc w:val="center"/>
        <w:rPr>
          <w:rFonts w:asciiTheme="minorEastAsia" w:eastAsiaTheme="minorEastAsia" w:hAnsiTheme="minorEastAsia"/>
        </w:rPr>
      </w:pPr>
      <w:bookmarkStart w:id="26" w:name="_Toc73610164"/>
      <w:bookmarkStart w:id="27" w:name="_Toc73613646"/>
      <w:r>
        <w:rPr>
          <w:rFonts w:asciiTheme="minorEastAsia" w:eastAsiaTheme="minorEastAsia" w:hAnsiTheme="minorEastAsia" w:hint="eastAsia"/>
        </w:rPr>
        <w:t>三、</w:t>
      </w:r>
      <w:r>
        <w:rPr>
          <w:rFonts w:asciiTheme="minorEastAsia" w:eastAsiaTheme="minorEastAsia" w:hAnsiTheme="minorEastAsia"/>
        </w:rPr>
        <w:t>国家统计局关于印发《统计上大中小微型企业划分办法 （2017）》的通知</w:t>
      </w:r>
      <w:bookmarkEnd w:id="26"/>
      <w:bookmarkEnd w:id="27"/>
      <w:r>
        <w:rPr>
          <w:rFonts w:asciiTheme="minorEastAsia" w:eastAsiaTheme="minorEastAsia" w:hAnsiTheme="minorEastAsia"/>
        </w:rPr>
        <w:t> </w:t>
      </w:r>
    </w:p>
    <w:p>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国统字〔2017〕213号</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pPr>
        <w:widowControl/>
        <w:spacing w:line="360" w:lineRule="auto"/>
        <w:ind w:firstLine="372" w:firstLineChars="177"/>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pPr>
        <w:widowControl/>
        <w:spacing w:line="360" w:lineRule="auto"/>
        <w:jc w:val="center"/>
        <w:rPr>
          <w:rFonts w:asciiTheme="minorEastAsia" w:eastAsiaTheme="minorEastAsia" w:hAnsiTheme="minorEastAsia" w:cs="宋体"/>
          <w:b/>
          <w:bCs/>
          <w:kern w:val="0"/>
          <w:szCs w:val="21"/>
        </w:rPr>
      </w:pPr>
    </w:p>
    <w:p>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pPr>
        <w:widowControl/>
        <w:spacing w:line="360" w:lineRule="auto"/>
        <w:jc w:val="left"/>
        <w:rPr>
          <w:rFonts w:asciiTheme="minorEastAsia" w:eastAsiaTheme="minorEastAsia" w:hAnsiTheme="minorEastAsia" w:cs="宋体"/>
          <w:kern w:val="0"/>
          <w:szCs w:val="21"/>
        </w:rPr>
      </w:pPr>
    </w:p>
    <w:p>
      <w:pPr>
        <w:widowControl/>
        <w:spacing w:line="360" w:lineRule="auto"/>
        <w:ind w:left="1" w:firstLine="372" w:firstLineChars="177"/>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2" w:firstLineChars="177"/>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pPr>
        <w:widowControl/>
        <w:spacing w:line="360" w:lineRule="auto"/>
        <w:ind w:firstLine="372" w:firstLineChars="177"/>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2" w:firstLineChars="177"/>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2" w:firstLineChars="177"/>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pPr>
        <w:widowControl/>
        <w:spacing w:line="360" w:lineRule="auto"/>
        <w:ind w:left="1" w:firstLine="372" w:firstLineChars="177"/>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pPr>
        <w:widowControl/>
        <w:spacing w:line="360" w:lineRule="auto"/>
        <w:jc w:val="left"/>
        <w:rPr>
          <w:rFonts w:asciiTheme="minorEastAsia" w:eastAsiaTheme="minorEastAsia" w:hAnsiTheme="minorEastAsia" w:cs="宋体"/>
          <w:kern w:val="0"/>
          <w:szCs w:val="21"/>
        </w:rPr>
      </w:pP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pPr>
        <w:widowControl/>
        <w:spacing w:line="360" w:lineRule="auto"/>
        <w:jc w:val="left"/>
        <w:rPr>
          <w:rFonts w:asciiTheme="minorEastAsia" w:eastAsiaTheme="minorEastAsia" w:hAnsiTheme="minorEastAsia" w:cs="宋体"/>
          <w:kern w:val="0"/>
          <w:szCs w:val="21"/>
        </w:rPr>
      </w:pPr>
    </w:p>
    <w:p>
      <w:pPr>
        <w:widowControl/>
        <w:spacing w:line="360" w:lineRule="auto"/>
        <w:ind w:firstLine="372" w:firstLineChars="177"/>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pPr>
        <w:widowControl/>
        <w:spacing w:line="360" w:lineRule="auto"/>
        <w:ind w:firstLine="372" w:firstLineChars="177"/>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2" w:firstLineChars="177"/>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2" w:firstLineChars="177"/>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pPr>
        <w:widowControl/>
        <w:spacing w:line="360" w:lineRule="auto"/>
        <w:ind w:firstLine="372" w:firstLineChars="177"/>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2" w:firstLineChars="177"/>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asciiTheme="minorEastAsia" w:eastAsiaTheme="minorEastAsia" w:hAnsiTheme="minorEastAsia" w:cs="宋体"/>
          <w:kern w:val="0"/>
          <w:szCs w:val="21"/>
        </w:rPr>
      </w:pP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Style w:val="TableNormal"/>
        <w:tblW w:w="9435" w:type="dxa"/>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W w:w="9435" w:type="dxa"/>
          <w:jc w:val="center"/>
          <w:tblLayout w:type="fixed"/>
          <w:tblCellMar>
            <w:top w:w="0" w:type="dxa"/>
            <w:left w:w="108" w:type="dxa"/>
            <w:bottom w:w="0" w:type="dxa"/>
            <w:right w:w="108" w:type="dxa"/>
          </w:tblCellMar>
        </w:tblPrEx>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r>
            <w:r>
              <w:rPr>
                <w:rFonts w:ascii="宋体" w:hAnsi="宋体" w:cs="宋体" w:hint="eastAsia"/>
                <w:b/>
                <w:bCs/>
                <w:color w:val="000000"/>
                <w:kern w:val="0"/>
                <w:sz w:val="18"/>
                <w:szCs w:val="18"/>
              </w:rP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tcBorders>
              <w:top w:val="nil"/>
              <w:left w:val="nil"/>
              <w:bottom w:val="single" w:sz="4" w:space="0" w:color="auto"/>
              <w:right w:val="single" w:sz="4" w:space="0" w:color="auto"/>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tcBorders>
              <w:top w:val="nil"/>
              <w:left w:val="nil"/>
              <w:bottom w:val="single" w:sz="4" w:space="0" w:color="auto"/>
              <w:right w:val="single" w:sz="4" w:space="0" w:color="auto"/>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tcBorders>
              <w:top w:val="nil"/>
              <w:left w:val="nil"/>
              <w:bottom w:val="single" w:sz="4" w:space="0" w:color="auto"/>
              <w:right w:val="single" w:sz="4" w:space="0" w:color="auto"/>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pPr>
              <w:widowControl/>
              <w:ind w:left="-1" w:hanging="1" w:leftChars="-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pPr>
              <w:widowControl/>
              <w:ind w:left="-1" w:hanging="1" w:leftChars="-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tcBorders>
              <w:top w:val="nil"/>
              <w:left w:val="nil"/>
              <w:bottom w:val="single" w:sz="4" w:space="0" w:color="auto"/>
              <w:right w:val="single" w:sz="4" w:space="0" w:color="auto"/>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pPr>
              <w:widowControl/>
              <w:ind w:left="-1" w:hanging="1" w:leftChars="-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tcBorders>
              <w:top w:val="nil"/>
              <w:left w:val="nil"/>
              <w:bottom w:val="single" w:sz="4" w:space="0" w:color="auto"/>
              <w:right w:val="single" w:sz="4" w:space="0" w:color="auto"/>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pPr>
              <w:widowControl/>
              <w:ind w:left="19" w:hanging="126" w:leftChars="-51" w:hangingChars="60"/>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tcBorders>
              <w:top w:val="nil"/>
              <w:left w:val="nil"/>
              <w:bottom w:val="single" w:sz="4" w:space="0" w:color="auto"/>
              <w:right w:val="single" w:sz="4" w:space="0" w:color="auto"/>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tcBorders>
              <w:top w:val="nil"/>
              <w:left w:val="nil"/>
              <w:bottom w:val="single" w:sz="4" w:space="0" w:color="auto"/>
              <w:right w:val="single" w:sz="4" w:space="0" w:color="auto"/>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pPr>
              <w:widowControl/>
              <w:ind w:left="19" w:hanging="126" w:leftChars="-51" w:hangingChars="60"/>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tcBorders>
              <w:top w:val="nil"/>
              <w:left w:val="nil"/>
              <w:bottom w:val="single" w:sz="4" w:space="0" w:color="auto"/>
              <w:right w:val="single" w:sz="4" w:space="0" w:color="auto"/>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pPr>
              <w:widowControl/>
              <w:ind w:left="19" w:hanging="126" w:leftChars="-51" w:hangingChars="60"/>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tcBorders>
              <w:top w:val="nil"/>
              <w:left w:val="nil"/>
              <w:bottom w:val="single" w:sz="4" w:space="0" w:color="auto"/>
              <w:right w:val="single" w:sz="4" w:space="0" w:color="auto"/>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vMerge/>
            <w:tcBorders>
              <w:top w:val="nil"/>
              <w:left w:val="nil"/>
              <w:bottom w:val="single" w:sz="4" w:space="0" w:color="auto"/>
              <w:right w:val="single" w:sz="4" w:space="0" w:color="auto"/>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tblPrEx>
          <w:tblW w:w="9435" w:type="dxa"/>
          <w:jc w:val="center"/>
          <w:tblLayout w:type="fixed"/>
          <w:tblCellMar>
            <w:top w:w="0" w:type="dxa"/>
            <w:left w:w="108" w:type="dxa"/>
            <w:bottom w:w="0" w:type="dxa"/>
            <w:right w:w="108" w:type="dxa"/>
          </w:tblCellMar>
        </w:tblPrEx>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pPr>
              <w:widowControl/>
              <w:ind w:left="19" w:hanging="126" w:leftChars="-51" w:hangingChars="60"/>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tblPrEx>
          <w:tblW w:w="9435" w:type="dxa"/>
          <w:jc w:val="center"/>
          <w:tblLayout w:type="fixed"/>
          <w:tblCellMar>
            <w:top w:w="0" w:type="dxa"/>
            <w:left w:w="108" w:type="dxa"/>
            <w:bottom w:w="0" w:type="dxa"/>
            <w:right w:w="108" w:type="dxa"/>
          </w:tblCellMar>
        </w:tblPrEx>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tblPrEx>
          <w:tblW w:w="9435" w:type="dxa"/>
          <w:jc w:val="center"/>
          <w:tblLayout w:type="fixed"/>
          <w:tblCellMar>
            <w:top w:w="0" w:type="dxa"/>
            <w:left w:w="108" w:type="dxa"/>
            <w:bottom w:w="0" w:type="dxa"/>
            <w:right w:w="108" w:type="dxa"/>
          </w:tblCellMar>
        </w:tblPrEx>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tblPrEx>
          <w:tblW w:w="9435" w:type="dxa"/>
          <w:jc w:val="center"/>
          <w:tblLayout w:type="fixed"/>
          <w:tblCellMar>
            <w:top w:w="0" w:type="dxa"/>
            <w:left w:w="108" w:type="dxa"/>
            <w:bottom w:w="0" w:type="dxa"/>
            <w:right w:w="108" w:type="dxa"/>
          </w:tblCellMar>
        </w:tblPrEx>
        <w:trPr>
          <w:trHeight w:hRule="exact" w:val="340"/>
          <w:jc w:val="center"/>
        </w:trPr>
        <w:tc>
          <w:tcPr>
            <w:tcW w:w="2113" w:type="dxa"/>
            <w:vMerge/>
            <w:tcBorders>
              <w:top w:val="nil"/>
              <w:left w:val="nil"/>
              <w:bottom w:val="single" w:sz="4" w:space="0" w:color="auto"/>
              <w:right w:val="single" w:sz="4" w:space="0" w:color="auto"/>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tblPrEx>
          <w:tblW w:w="9435" w:type="dxa"/>
          <w:jc w:val="center"/>
          <w:tblLayout w:type="fixed"/>
          <w:tblCellMar>
            <w:top w:w="0" w:type="dxa"/>
            <w:left w:w="108" w:type="dxa"/>
            <w:bottom w:w="0" w:type="dxa"/>
            <w:right w:w="108" w:type="dxa"/>
          </w:tblCellMar>
        </w:tblPrEx>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tblPrEx>
          <w:tblW w:w="9435" w:type="dxa"/>
          <w:jc w:val="center"/>
          <w:tblLayout w:type="fixed"/>
          <w:tblCellMar>
            <w:top w:w="0" w:type="dxa"/>
            <w:left w:w="108" w:type="dxa"/>
            <w:bottom w:w="0" w:type="dxa"/>
            <w:right w:w="108" w:type="dxa"/>
          </w:tblCellMar>
        </w:tblPrEx>
        <w:trPr>
          <w:trHeight w:hRule="exact" w:val="340"/>
          <w:jc w:val="center"/>
        </w:trPr>
        <w:tc>
          <w:tcPr>
            <w:tcW w:w="2113" w:type="dxa"/>
            <w:vMerge/>
            <w:tcBorders>
              <w:top w:val="nil"/>
              <w:left w:val="nil"/>
              <w:bottom w:val="single" w:sz="4" w:space="0" w:color="auto"/>
              <w:right w:val="single" w:sz="4" w:space="0" w:color="auto"/>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pPr>
              <w:widowControl/>
              <w:ind w:left="19" w:hanging="126" w:leftChars="-51" w:hangingChars="60"/>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tblPrEx>
          <w:tblW w:w="9435" w:type="dxa"/>
          <w:jc w:val="center"/>
          <w:tblLayout w:type="fixed"/>
          <w:tblCellMar>
            <w:top w:w="0" w:type="dxa"/>
            <w:left w:w="108" w:type="dxa"/>
            <w:bottom w:w="0" w:type="dxa"/>
            <w:right w:w="108" w:type="dxa"/>
          </w:tblCellMar>
        </w:tblPrEx>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pPr>
              <w:widowControl/>
              <w:ind w:left="19" w:hanging="126" w:leftChars="-51" w:hangingChars="60"/>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tblPrEx>
          <w:tblW w:w="9435" w:type="dxa"/>
          <w:jc w:val="center"/>
          <w:tblLayout w:type="fixed"/>
          <w:tblCellMar>
            <w:top w:w="0" w:type="dxa"/>
            <w:left w:w="108" w:type="dxa"/>
            <w:bottom w:w="0" w:type="dxa"/>
            <w:right w:w="108" w:type="dxa"/>
          </w:tblCellMar>
        </w:tblPrEx>
        <w:trPr>
          <w:trHeight w:hRule="exact" w:val="340"/>
          <w:jc w:val="center"/>
        </w:trPr>
        <w:tc>
          <w:tcPr>
            <w:tcW w:w="2113" w:type="dxa"/>
            <w:vMerge/>
            <w:tcBorders>
              <w:top w:val="nil"/>
              <w:left w:val="nil"/>
              <w:bottom w:val="single" w:sz="4" w:space="0" w:color="auto"/>
              <w:right w:val="single" w:sz="4" w:space="0" w:color="auto"/>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tblPrEx>
          <w:tblW w:w="9435" w:type="dxa"/>
          <w:jc w:val="center"/>
          <w:tblLayout w:type="fixed"/>
          <w:tblCellMar>
            <w:top w:w="0" w:type="dxa"/>
            <w:left w:w="108" w:type="dxa"/>
            <w:bottom w:w="0" w:type="dxa"/>
            <w:right w:w="108" w:type="dxa"/>
          </w:tblCellMar>
        </w:tblPrEx>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pPr>
              <w:widowControl/>
              <w:ind w:left="19" w:hanging="126" w:leftChars="-51" w:hangingChars="60"/>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pPr>
        <w:widowControl/>
        <w:spacing w:line="360" w:lineRule="auto"/>
        <w:ind w:firstLine="372" w:firstLineChars="177"/>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pPr>
        <w:widowControl/>
        <w:spacing w:line="360" w:lineRule="auto"/>
        <w:ind w:firstLine="372" w:firstLineChars="177"/>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2" w:firstLineChars="177"/>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eastAsiaTheme="minorEastAsia" w:hAnsiTheme="minorEastAsia"/>
          <w:szCs w:val="21"/>
        </w:rPr>
      </w:pPr>
    </w:p>
    <w:p>
      <w:pPr>
        <w:pStyle w:val="Heading3"/>
        <w:spacing w:before="0" w:after="0"/>
        <w:jc w:val="center"/>
      </w:pPr>
      <w:bookmarkStart w:id="28" w:name="_Toc73613647"/>
      <w:bookmarkStart w:id="29" w:name="_Toc73610165"/>
      <w:r>
        <w:rPr>
          <w:rFonts w:hint="eastAsia"/>
        </w:rPr>
        <w:t>四、</w:t>
      </w:r>
      <w:r>
        <w:t>财政部 民政部 中国残疾人联合会关于促进残疾人就业 政府采购政策的通知</w:t>
      </w:r>
      <w:bookmarkEnd w:id="28"/>
      <w:bookmarkEnd w:id="29"/>
      <w:r>
        <w:t xml:space="preserve"> </w:t>
      </w:r>
    </w:p>
    <w:p>
      <w:pPr>
        <w:pStyle w:val="NormalWeb"/>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一、享受政府采购支持政策的残疾人福利性单位应当同时满足以下条件：</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（一）安置的残疾人占本单位在职职工人数的比例不低于25%（含25%），并且安置的残疾人人数不少于10人（含10人）；</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（二）依法与安置的每位残疾人签订了一年以上（含一年）的劳动合同或服务协议；</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（三）为安置的每位残疾人按月足额缴纳了基本养老保险、基本医疗保险、失业保险、工伤保险和生育保险等社会保险费；</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供应商提供的《残疾人福利性单位声明函》与事实不符的，依照《政府采购法》第七十七条第一款的规定追究法律责任。</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七、本通知自2017年10月1日起执行。</w:t>
      </w:r>
    </w:p>
    <w:p>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w:t>
      </w:r>
    </w:p>
    <w:p>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pPr>
        <w:widowControl/>
        <w:spacing w:line="360" w:lineRule="auto"/>
        <w:jc w:val="right"/>
        <w:rPr>
          <w:rFonts w:asciiTheme="minorEastAsia" w:eastAsiaTheme="minorEastAsia" w:hAnsiTheme="minorEastAsia" w:cs="宋体"/>
          <w:kern w:val="0"/>
          <w:szCs w:val="21"/>
        </w:rPr>
      </w:pPr>
    </w:p>
    <w:p>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2017年8月22日</w:t>
      </w:r>
    </w:p>
    <w:p>
      <w:pPr>
        <w:tabs>
          <w:tab w:val="left" w:pos="1875"/>
        </w:tabs>
      </w:pPr>
    </w:p>
    <w:p/>
    <w:p>
      <w:pPr>
        <w:pStyle w:val="Heading3"/>
        <w:spacing w:before="0" w:after="0"/>
        <w:jc w:val="center"/>
      </w:pPr>
      <w:r>
        <w:rPr>
          <w:rFonts w:hint="eastAsia"/>
        </w:rPr>
        <w:t>五、财政部 司法部关于政府采购支持监狱企业发展有关问题的通知</w:t>
      </w:r>
      <w:r>
        <w:t xml:space="preserve"> </w:t>
      </w:r>
    </w:p>
    <w:p>
      <w:pPr>
        <w:widowControl/>
        <w:spacing w:line="360" w:lineRule="auto"/>
        <w:jc w:val="center"/>
        <w:rPr>
          <w:rFonts w:asciiTheme="minorEastAsia" w:eastAsiaTheme="minorEastAsia" w:hAnsiTheme="minorEastAsia" w:cs="宋体"/>
          <w:kern w:val="0"/>
          <w:szCs w:val="21"/>
        </w:rPr>
      </w:pPr>
    </w:p>
    <w:p>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财库〔2014〕68号</w:t>
      </w:r>
    </w:p>
    <w:p>
      <w:pPr>
        <w:widowControl/>
        <w:spacing w:line="360" w:lineRule="auto"/>
        <w:jc w:val="left"/>
        <w:rPr>
          <w:rFonts w:asciiTheme="minorEastAsia" w:eastAsiaTheme="minorEastAsia" w:hAnsiTheme="minorEastAsia" w:cs="宋体"/>
          <w:kern w:val="0"/>
          <w:szCs w:val="21"/>
        </w:rPr>
      </w:pPr>
    </w:p>
    <w:p>
      <w:pPr>
        <w:widowControl/>
        <w:spacing w:line="360" w:lineRule="auto"/>
        <w:ind w:firstLine="424" w:firstLineChars="202"/>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asciiTheme="minorEastAsia" w:eastAsiaTheme="minorEastAsia" w:hAnsiTheme="minorEastAsia" w:cs="宋体"/>
          <w:kern w:val="0"/>
          <w:szCs w:val="21"/>
        </w:rPr>
        <w:t>[2003]7</w:t>
      </w:r>
      <w:r>
        <w:rPr>
          <w:rFonts w:asciiTheme="minorEastAsia" w:eastAsiaTheme="minorEastAsia" w:hAnsiTheme="minorEastAsia" w:cs="宋体" w:hint="eastAsia"/>
          <w:kern w:val="0"/>
          <w:szCs w:val="21"/>
        </w:rPr>
        <w:t>号）文件精神，发挥政府采购支持监狱企业发展的作用，现就有关事项通知如下：</w:t>
      </w:r>
    </w:p>
    <w:p>
      <w:pPr>
        <w:widowControl/>
        <w:spacing w:line="360" w:lineRule="auto"/>
        <w:ind w:firstLine="424" w:firstLineChars="202"/>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三、各地区、各部门要积极通过预留采购份额支持监狱企业。有制服采购项目的部门，应加强对政府采购预算和计划编制工作的统筹，预留本部门制服采购项目预算总额的</w:t>
      </w:r>
      <w:r>
        <w:rPr>
          <w:rFonts w:asciiTheme="minorEastAsia" w:eastAsiaTheme="minorEastAsia" w:hAnsiTheme="minorEastAsia" w:cs="宋体"/>
          <w:kern w:val="0"/>
          <w:szCs w:val="21"/>
        </w:rPr>
        <w:t>30%</w:t>
      </w:r>
      <w:r>
        <w:rPr>
          <w:rFonts w:asciiTheme="minorEastAsia" w:eastAsiaTheme="minorEastAsia" w:hAnsiTheme="minorEastAsia" w:cs="宋体" w:hint="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asciiTheme="minorEastAsia" w:eastAsiaTheme="minorEastAsia" w:hAnsiTheme="minorEastAsia" w:cs="宋体"/>
          <w:kern w:val="0"/>
          <w:szCs w:val="21"/>
        </w:rPr>
      </w:pPr>
    </w:p>
    <w:p>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中华人民共和国财政部</w:t>
      </w:r>
    </w:p>
    <w:p>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中华人民共和国司法部</w:t>
      </w:r>
    </w:p>
    <w:p>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2014年6月10日</w:t>
      </w:r>
    </w:p>
    <w:p>
      <w:pPr>
        <w:widowControl/>
        <w:spacing w:line="360" w:lineRule="auto"/>
        <w:jc w:val="center"/>
        <w:rPr>
          <w:rFonts w:asciiTheme="majorEastAsia" w:eastAsiaTheme="majorEastAsia" w:hAnsiTheme="majorEastAsia"/>
          <w:b/>
          <w:sz w:val="32"/>
          <w:szCs w:val="32"/>
        </w:rPr>
      </w:pPr>
      <w:r>
        <w:rPr>
          <w:rFonts w:asciiTheme="minorEastAsia" w:eastAsiaTheme="minorEastAsia" w:hAnsiTheme="minorEastAsia" w:cs="宋体"/>
          <w:kern w:val="0"/>
          <w:szCs w:val="21"/>
        </w:rPr>
        <w:br w:type="page"/>
      </w:r>
      <w:r>
        <w:rPr>
          <w:rFonts w:asciiTheme="majorEastAsia" w:eastAsiaTheme="majorEastAsia" w:hAnsiTheme="majorEastAsia" w:hint="eastAsia"/>
          <w:b/>
          <w:sz w:val="32"/>
          <w:szCs w:val="32"/>
        </w:rPr>
        <w:t>第二册  通用条款（公开招标）</w:t>
      </w:r>
    </w:p>
    <w:p>
      <w:pPr>
        <w:keepNext/>
        <w:keepLines/>
        <w:widowControl/>
        <w:numPr>
          <w:ilvl w:val="0"/>
          <w:numId w:val="2"/>
        </w:numPr>
        <w:adjustRightInd w:val="0"/>
        <w:spacing w:before="156" w:beforeLines="50" w:after="156" w:afterLines="50" w:line="360" w:lineRule="auto"/>
        <w:ind w:left="562" w:hanging="562"/>
        <w:jc w:val="center"/>
        <w:textAlignment w:val="baseline"/>
        <w:outlineLvl w:val="1"/>
        <w:rPr>
          <w:rFonts w:asciiTheme="majorEastAsia" w:eastAsiaTheme="majorEastAsia" w:hAnsiTheme="majorEastAsia"/>
          <w:b/>
          <w:bCs/>
          <w:kern w:val="0"/>
          <w:sz w:val="28"/>
          <w:szCs w:val="28"/>
        </w:rPr>
      </w:pPr>
      <w:bookmarkStart w:id="30" w:name="_Hlk72399513"/>
      <w:r>
        <w:rPr>
          <w:rFonts w:asciiTheme="majorEastAsia" w:eastAsiaTheme="majorEastAsia" w:hAnsiTheme="majorEastAsia" w:hint="eastAsia"/>
          <w:b/>
          <w:bCs/>
          <w:kern w:val="0"/>
          <w:sz w:val="28"/>
          <w:szCs w:val="28"/>
        </w:rPr>
        <w:t>总则</w:t>
      </w:r>
    </w:p>
    <w:p>
      <w:pPr>
        <w:spacing w:line="360" w:lineRule="auto"/>
        <w:outlineLvl w:val="1"/>
        <w:rPr>
          <w:rFonts w:asciiTheme="majorEastAsia" w:eastAsiaTheme="majorEastAsia" w:hAnsiTheme="majorEastAsia"/>
          <w:b/>
          <w:bCs/>
          <w:szCs w:val="21"/>
        </w:rPr>
      </w:pPr>
      <w:bookmarkEnd w:id="30"/>
      <w:r>
        <w:rPr>
          <w:rFonts w:asciiTheme="majorEastAsia" w:eastAsiaTheme="majorEastAsia" w:hAnsiTheme="majorEastAsia" w:hint="eastAsia"/>
          <w:b/>
          <w:bCs/>
          <w:szCs w:val="21"/>
        </w:rPr>
        <w:t>1. 通用条款说明</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1.1采购代理机构发出招标文件通用条款版本，列出深圳市政府采购项目进行招标采购所适用的通用条款内容。</w:t>
      </w:r>
      <w:bookmarkStart w:id="31" w:name="_Hlk72399729"/>
      <w:r>
        <w:rPr>
          <w:rFonts w:asciiTheme="majorEastAsia" w:eastAsiaTheme="majorEastAsia" w:hAnsiTheme="majorEastAsia" w:hint="eastAsia"/>
          <w:szCs w:val="21"/>
        </w:rPr>
        <w:t>如有需要，采购代理机构可以对通用条款的内容进行补充。</w:t>
      </w:r>
      <w:bookmarkEnd w:id="31"/>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1.2招标文件分为第一册“专用条款”和第二册“通用条款”。</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1.3“专用条款”是对本次采购项目的具体要求，包含招标公告、对通用条款的补充内容及其他关键信息、用户需求书、投标文件格式及附件、合同条款及格式等内容。</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1.4“通用条款”是适用于政府采购公开招标项目的基础性条款，具有普遍性和通用性。</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1.5 “专用条款”和“通用条款”表述不一致或有冲突时，以“专用条款”为准。</w:t>
      </w:r>
    </w:p>
    <w:p>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2</w:t>
      </w:r>
      <w:r>
        <w:rPr>
          <w:rFonts w:asciiTheme="majorEastAsia" w:eastAsiaTheme="majorEastAsia" w:hAnsiTheme="majorEastAsia"/>
          <w:b/>
          <w:bCs/>
          <w:szCs w:val="21"/>
        </w:rPr>
        <w:t>．</w:t>
      </w:r>
      <w:r>
        <w:rPr>
          <w:rFonts w:asciiTheme="majorEastAsia" w:eastAsiaTheme="majorEastAsia" w:hAnsiTheme="majorEastAsia" w:hint="eastAsia"/>
          <w:b/>
          <w:bCs/>
          <w:szCs w:val="21"/>
        </w:rPr>
        <w:t>招标说明</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本项目按照《深圳经济特区政府采购条例》、《深圳经济特区政府采购条例实施细则》及政府采购其他法律法规，通过公开招标方式确定中标供应商。</w:t>
      </w:r>
    </w:p>
    <w:p>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3．定义</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szCs w:val="21"/>
        </w:rPr>
        <w:t>招标文件中下列术语应解释为：</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1</w:t>
      </w:r>
      <w:r>
        <w:rPr>
          <w:rFonts w:asciiTheme="majorEastAsia" w:eastAsiaTheme="majorEastAsia" w:hAnsiTheme="majorEastAsia" w:hint="eastAsia"/>
          <w:szCs w:val="21"/>
        </w:rPr>
        <w:t>“采购人”：指利用财政性资金依法进行政府采购的国家机关、事业单位、团体组织；</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3.2 “政府集中采购机构”</w:t>
      </w:r>
      <w:r>
        <w:rPr>
          <w:rFonts w:asciiTheme="majorEastAsia" w:eastAsiaTheme="majorEastAsia" w:hAnsiTheme="majorEastAsia" w:cs="Arial" w:hint="eastAsia"/>
          <w:szCs w:val="21"/>
          <w:shd w:val="clear" w:color="auto" w:fill="FFFFFF"/>
        </w:rPr>
        <w:t>是指市政府设立的，对纳入集中采购目录内的采购项目组织实施采购，并对政府采购活动提供服务的专门机构；</w:t>
      </w:r>
      <w:r>
        <w:rPr>
          <w:rFonts w:asciiTheme="majorEastAsia" w:eastAsiaTheme="majorEastAsia" w:hAnsiTheme="majorEastAsia" w:hint="eastAsia"/>
          <w:szCs w:val="21"/>
        </w:rPr>
        <w:t>本文件所述的“政府集中采购机构”</w:t>
      </w:r>
      <w:r>
        <w:rPr>
          <w:rFonts w:asciiTheme="majorEastAsia" w:eastAsiaTheme="majorEastAsia" w:hAnsiTheme="majorEastAsia"/>
          <w:szCs w:val="21"/>
        </w:rPr>
        <w:t>指</w:t>
      </w:r>
      <w:r>
        <w:rPr>
          <w:rFonts w:asciiTheme="majorEastAsia" w:eastAsiaTheme="majorEastAsia" w:hAnsiTheme="majorEastAsia" w:hint="eastAsia"/>
          <w:szCs w:val="21"/>
        </w:rPr>
        <w:t>深圳公共资源交易中心；</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3.3“采购代理机构”是指根据采购人委托，代理政府采购事宜的社会采购代理机构。本招标文件的招标机构特指</w:t>
      </w:r>
      <w:r>
        <w:rPr>
          <w:rFonts w:asciiTheme="majorEastAsia" w:eastAsiaTheme="majorEastAsia" w:hAnsiTheme="majorEastAsia" w:hint="eastAsia"/>
          <w:b/>
          <w:bCs/>
          <w:szCs w:val="21"/>
        </w:rPr>
        <w:t>深圳市中正招标有限公司；</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3.4“投标人”，即供应商，指参加投标竞争并愿意按照招标文件要求向采购人提供货物、工程或者服务的依法成立的法人、其他组织或者自然人；</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3.5“评审委员会”是依据《深圳经济特区政府采购条例》、《深圳经济特区政府采购条例实施细则》等有关规定组建的专门负责本次招标其评审工作的临时性机构；</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3.6“日期”</w:t>
      </w:r>
      <w:r>
        <w:rPr>
          <w:rFonts w:asciiTheme="majorEastAsia" w:eastAsiaTheme="majorEastAsia" w:hAnsiTheme="majorEastAsia"/>
          <w:szCs w:val="21"/>
        </w:rPr>
        <w:t>指</w:t>
      </w:r>
      <w:r>
        <w:rPr>
          <w:rFonts w:asciiTheme="majorEastAsia" w:eastAsiaTheme="majorEastAsia" w:hAnsiTheme="majorEastAsia" w:hint="eastAsia"/>
          <w:szCs w:val="21"/>
        </w:rPr>
        <w:t>公历日；</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3.7“合同”指由本次招标所产生的合同或合约文件；</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3.8“电子投标文件”指利用</w:t>
      </w:r>
      <w:r>
        <w:rPr>
          <w:rFonts w:asciiTheme="majorEastAsia" w:eastAsiaTheme="majorEastAsia" w:hAnsiTheme="majorEastAsia" w:hint="eastAsia"/>
          <w:bCs/>
          <w:szCs w:val="21"/>
        </w:rPr>
        <w:t>深圳公共资源交易网</w:t>
      </w:r>
      <w:r>
        <w:rPr>
          <w:rFonts w:asciiTheme="majorEastAsia" w:eastAsiaTheme="majorEastAsia" w:hAnsiTheme="majorEastAsia" w:hint="eastAsia"/>
          <w:szCs w:val="21"/>
        </w:rPr>
        <w:t>站提供的深圳智慧采购平台投标文件制作专用软件（以下简称：投标文件制作软件）制作并加密的投标文件,适用于网上投标；（投标文件制作软件可从“下载地址：</w:t>
      </w:r>
      <w:r>
        <w:rPr>
          <w:rFonts w:asciiTheme="majorEastAsia" w:eastAsiaTheme="majorEastAsia" w:hAnsiTheme="majorEastAsia"/>
          <w:szCs w:val="21"/>
        </w:rPr>
        <w:t>http://zfcg.szggzy.com/</w:t>
      </w:r>
      <w:r>
        <w:rPr>
          <w:rFonts w:asciiTheme="majorEastAsia" w:eastAsiaTheme="majorEastAsia" w:hAnsiTheme="majorEastAsia" w:hint="eastAsia"/>
          <w:szCs w:val="21"/>
        </w:rPr>
        <w:t>TPBidder/DownLoad/深圳市智慧采购平台投标文件制作专用软件.zip”下载）；</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3.9“网上投标”指通过</w:t>
      </w:r>
      <w:r>
        <w:rPr>
          <w:rFonts w:asciiTheme="majorEastAsia" w:eastAsiaTheme="majorEastAsia" w:hAnsiTheme="majorEastAsia" w:hint="eastAsia"/>
          <w:bCs/>
          <w:szCs w:val="21"/>
        </w:rPr>
        <w:t>深圳公共资源交易网</w:t>
      </w:r>
      <w:r>
        <w:rPr>
          <w:rFonts w:asciiTheme="majorEastAsia" w:eastAsiaTheme="majorEastAsia" w:hAnsiTheme="majorEastAsia" w:hint="eastAsia"/>
          <w:szCs w:val="21"/>
        </w:rPr>
        <w:t>站上传电子投标文件；</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3.10招标文件中的标题或题名仅起引导作用，而不应视为对招标文件内容的理解和解释。</w:t>
      </w:r>
    </w:p>
    <w:p>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 xml:space="preserve">4. </w:t>
      </w:r>
      <w:bookmarkStart w:id="32" w:name="_Hlk72398643"/>
      <w:r>
        <w:rPr>
          <w:rFonts w:asciiTheme="majorEastAsia" w:eastAsiaTheme="majorEastAsia" w:hAnsiTheme="majorEastAsia" w:hint="eastAsia"/>
          <w:b/>
          <w:bCs/>
          <w:szCs w:val="21"/>
        </w:rPr>
        <w:t>政府采购供应商责任</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4.1欢迎诚信、有实力和有社会责任心的供应商参与政府采购事业。</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4.2投标人应当遵循公平竞争的原则，不得恶意串通，不得妨碍其他投标人的竞争行为，不得损害采购人或者其他投标人的合法权益。如违反上述要求，经核实后，供应商的投标无效。</w:t>
      </w:r>
    </w:p>
    <w:p>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5．投标人参加政府采购的条件</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5.1投标人应在投标前到</w:t>
      </w:r>
      <w:r>
        <w:rPr>
          <w:rFonts w:asciiTheme="majorEastAsia" w:eastAsiaTheme="majorEastAsia" w:hAnsiTheme="majorEastAsia" w:hint="eastAsia"/>
          <w:b/>
          <w:bCs/>
          <w:szCs w:val="21"/>
        </w:rPr>
        <w:t>深圳公共资源交易中心（具体在深圳交易集团有限公司政府采购业务分公司进行办理）</w:t>
      </w:r>
      <w:r>
        <w:rPr>
          <w:rFonts w:asciiTheme="majorEastAsia" w:eastAsiaTheme="majorEastAsia" w:hAnsiTheme="majorEastAsia" w:hint="eastAsia"/>
          <w:szCs w:val="21"/>
        </w:rPr>
        <w:t>进行注册并办理电子密钥。《</w:t>
      </w:r>
      <w:r>
        <w:fldChar w:fldCharType="begin"/>
      </w:r>
      <w:r>
        <w:instrText xml:space="preserve"> HYPERLINK "http://www.szzfcg.cn/viewer.do?id=2455258" \t "documentViewer2455258" </w:instrText>
      </w:r>
      <w:r>
        <w:fldChar w:fldCharType="separate"/>
      </w:r>
      <w:r>
        <w:rPr>
          <w:rFonts w:asciiTheme="majorEastAsia" w:eastAsiaTheme="majorEastAsia" w:hAnsiTheme="majorEastAsia"/>
          <w:szCs w:val="21"/>
        </w:rPr>
        <w:t>供应商注册及电子密钥新申请指引</w:t>
      </w:r>
      <w:r>
        <w:rPr>
          <w:rFonts w:asciiTheme="majorEastAsia" w:eastAsiaTheme="majorEastAsia" w:hAnsiTheme="majorEastAsia"/>
          <w:szCs w:val="21"/>
        </w:rPr>
        <w:fldChar w:fldCharType="end"/>
      </w:r>
      <w:r>
        <w:rPr>
          <w:rFonts w:asciiTheme="majorEastAsia" w:eastAsiaTheme="majorEastAsia" w:hAnsiTheme="majorEastAsia" w:hint="eastAsia"/>
          <w:szCs w:val="21"/>
        </w:rPr>
        <w:t>》详见</w:t>
      </w:r>
      <w:r>
        <w:rPr>
          <w:rFonts w:asciiTheme="majorEastAsia" w:eastAsiaTheme="majorEastAsia" w:hAnsiTheme="majorEastAsia"/>
          <w:szCs w:val="21"/>
        </w:rPr>
        <w:t>http://zfcg.szggzy.com/</w:t>
      </w:r>
      <w:r>
        <w:rPr>
          <w:rFonts w:asciiTheme="majorEastAsia" w:eastAsiaTheme="majorEastAsia" w:hAnsiTheme="majorEastAsia" w:hint="eastAsia"/>
          <w:szCs w:val="21"/>
        </w:rPr>
        <w:t>。</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5.2投标人资格要求</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参加本项目的投标人应具备的资格条件详见本项目招标公告中 “投标人资格要求”（即申请人的资格要求）的内容。</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5.3联合体投标</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5.3.1　以下有关联合体投标的条款仅适用于允许投标人组成联合体投标的项目。</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5.3.2  由两个或两个以上的自然人、法人或者其他组织可以组成一个联合体，以一个供应商的身份共同投标时，应符合以下原则：</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（1）投标联合体各方参加政府采购活动应当具备下列条件：</w:t>
      </w:r>
    </w:p>
    <w:p>
      <w:pPr>
        <w:spacing w:line="360" w:lineRule="auto"/>
        <w:ind w:left="420" w:firstLine="412" w:leftChars="200" w:firstLineChars="196"/>
        <w:rPr>
          <w:rFonts w:asciiTheme="majorEastAsia" w:eastAsiaTheme="majorEastAsia" w:hAnsiTheme="majorEastAsia"/>
          <w:szCs w:val="21"/>
        </w:rPr>
      </w:pPr>
      <w:r>
        <w:rPr>
          <w:rFonts w:asciiTheme="majorEastAsia" w:eastAsiaTheme="majorEastAsia" w:hAnsiTheme="majorEastAsia" w:hint="eastAsia"/>
          <w:szCs w:val="21"/>
        </w:rPr>
        <w:t>1、具有独立承担民事责任的能力；</w:t>
      </w:r>
    </w:p>
    <w:p>
      <w:pPr>
        <w:spacing w:line="360" w:lineRule="auto"/>
        <w:ind w:left="420" w:firstLine="412" w:firstLineChars="196"/>
        <w:rPr>
          <w:rFonts w:asciiTheme="majorEastAsia" w:eastAsiaTheme="majorEastAsia" w:hAnsiTheme="majorEastAsia"/>
          <w:szCs w:val="21"/>
        </w:rPr>
      </w:pPr>
      <w:r>
        <w:rPr>
          <w:rFonts w:asciiTheme="majorEastAsia" w:eastAsiaTheme="majorEastAsia" w:hAnsiTheme="majorEastAsia" w:hint="eastAsia"/>
          <w:szCs w:val="21"/>
        </w:rPr>
        <w:t>2、有良好的商业信誉和健全的财务会计制度；</w:t>
      </w:r>
    </w:p>
    <w:p>
      <w:pPr>
        <w:spacing w:line="360" w:lineRule="auto"/>
        <w:ind w:left="420" w:firstLine="412" w:leftChars="200" w:firstLineChars="196"/>
        <w:rPr>
          <w:rFonts w:asciiTheme="majorEastAsia" w:eastAsiaTheme="majorEastAsia" w:hAnsiTheme="majorEastAsia"/>
          <w:szCs w:val="21"/>
        </w:rPr>
      </w:pPr>
      <w:r>
        <w:rPr>
          <w:rFonts w:asciiTheme="majorEastAsia" w:eastAsiaTheme="majorEastAsia" w:hAnsiTheme="majorEastAsia" w:hint="eastAsia"/>
          <w:szCs w:val="21"/>
        </w:rPr>
        <w:t>3、具有履行合同所必需的设备和专业技术能力；</w:t>
      </w:r>
    </w:p>
    <w:p>
      <w:pPr>
        <w:spacing w:line="360" w:lineRule="auto"/>
        <w:ind w:left="420" w:firstLine="412" w:leftChars="200" w:firstLineChars="196"/>
        <w:rPr>
          <w:rFonts w:asciiTheme="majorEastAsia" w:eastAsiaTheme="majorEastAsia" w:hAnsiTheme="majorEastAsia"/>
          <w:szCs w:val="21"/>
        </w:rPr>
      </w:pPr>
      <w:r>
        <w:rPr>
          <w:rFonts w:asciiTheme="majorEastAsia" w:eastAsiaTheme="majorEastAsia" w:hAnsiTheme="majorEastAsia" w:hint="eastAsia"/>
          <w:szCs w:val="21"/>
        </w:rPr>
        <w:t>4、有依法缴纳税收和社会保障资金的良好记录；</w:t>
      </w:r>
    </w:p>
    <w:p>
      <w:pPr>
        <w:spacing w:line="360" w:lineRule="auto"/>
        <w:ind w:left="420" w:firstLine="412" w:leftChars="200" w:firstLineChars="196"/>
        <w:rPr>
          <w:rFonts w:asciiTheme="majorEastAsia" w:eastAsiaTheme="majorEastAsia" w:hAnsiTheme="majorEastAsia"/>
          <w:szCs w:val="21"/>
        </w:rPr>
      </w:pPr>
      <w:r>
        <w:rPr>
          <w:rFonts w:asciiTheme="majorEastAsia" w:eastAsiaTheme="majorEastAsia" w:hAnsiTheme="majorEastAsia" w:hint="eastAsia"/>
          <w:szCs w:val="21"/>
        </w:rPr>
        <w:t>5、参加政府采购活动前三年内，在经营活动中没有重大违法记录；</w:t>
      </w:r>
    </w:p>
    <w:p>
      <w:pPr>
        <w:spacing w:line="360" w:lineRule="auto"/>
        <w:ind w:left="420" w:firstLine="412" w:leftChars="200" w:firstLineChars="196"/>
        <w:rPr>
          <w:rFonts w:asciiTheme="majorEastAsia" w:eastAsiaTheme="majorEastAsia" w:hAnsiTheme="majorEastAsia"/>
          <w:szCs w:val="21"/>
        </w:rPr>
      </w:pPr>
      <w:r>
        <w:rPr>
          <w:rFonts w:asciiTheme="majorEastAsia" w:eastAsiaTheme="majorEastAsia" w:hAnsiTheme="majorEastAsia" w:hint="eastAsia"/>
          <w:szCs w:val="21"/>
        </w:rPr>
        <w:t>6、法律、行政法规规定的其他条件。</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（2）在投标截止前，投标联合体各方均应注册成深圳市政府采购供应商；</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（3）联合体中有同类资质的供应商按照联合体分工承担相同工作的，应当按照资质等级较低的供应商确定资质等级；</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（4）是否允许联合体参加投标，应当由采购人和采购代理机构根据项目的实际情况和潜在供应商的数量自主决定，如果决定接受联合体投标则应当在招标公告中明示；</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（5）投标人的投标文件及中标后签署的合同协议对联合体各方均具法律约束力；</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（6）联合体各方应当签订联合体投标协议，明确约定各方拟承担的工作和责任，并将该协议随投标文件一并递交给采购代理机构；</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（7）联合体中标后，联合体各方应当共同与采购人签订合同，就中标项目向采购人承担连带责任；</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（9）本通用条款中“投标人”一词亦指联合体各方，专用条款另有规定或说明的除外。</w:t>
      </w:r>
    </w:p>
    <w:p>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6．政策导向</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6.1政府采购扶持贫困地区、中小企业、监狱企业和残疾人福利性单位发展，支持节能减排、环境保护。</w:t>
      </w:r>
    </w:p>
    <w:p>
      <w:pPr>
        <w:spacing w:line="360" w:lineRule="auto"/>
        <w:ind w:firstLine="405"/>
        <w:rPr>
          <w:rFonts w:asciiTheme="majorEastAsia" w:eastAsiaTheme="majorEastAsia" w:hAnsiTheme="majorEastAsia"/>
          <w:szCs w:val="21"/>
          <w:shd w:val="clear" w:color="auto" w:fill="FFFFFF"/>
        </w:rPr>
      </w:pPr>
      <w:r>
        <w:rPr>
          <w:rFonts w:asciiTheme="majorEastAsia" w:eastAsiaTheme="majorEastAsia" w:hAnsiTheme="majorEastAsia" w:hint="eastAsia"/>
          <w:szCs w:val="21"/>
        </w:rPr>
        <w:t>6.2本项目落实深圳市政府采购供应商诚信管理政策要求。</w:t>
      </w:r>
    </w:p>
    <w:p>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7. 本项目若涉及采购货物，则合格的货物及相应服务应满足以下要求：</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7</w:t>
      </w:r>
      <w:r>
        <w:rPr>
          <w:rFonts w:asciiTheme="majorEastAsia" w:eastAsiaTheme="majorEastAsia" w:hAnsiTheme="majorEastAsia"/>
          <w:szCs w:val="21"/>
        </w:rPr>
        <w:t xml:space="preserve">.1  </w:t>
      </w:r>
      <w:r>
        <w:rPr>
          <w:rFonts w:asciiTheme="majorEastAsia" w:eastAsiaTheme="majorEastAsia" w:hAnsiTheme="majorEastAsia" w:hint="eastAsia"/>
          <w:szCs w:val="21"/>
        </w:rPr>
        <w:t>必须是全新、未使用过的原装合格正品（包括零部件），如安装或配置了软件的，须为正版软件。</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7.2  国产的货物及其有关服务必须符合中华人民共和国的设计、制造生产标准及行业标准。招标公告有其他要求的，亦应符合其要求。</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7</w:t>
      </w:r>
      <w:r>
        <w:rPr>
          <w:rFonts w:asciiTheme="majorEastAsia" w:eastAsiaTheme="majorEastAsia" w:hAnsiTheme="majorEastAsia"/>
          <w:szCs w:val="21"/>
        </w:rPr>
        <w:t>.</w:t>
      </w:r>
      <w:r>
        <w:rPr>
          <w:rFonts w:asciiTheme="majorEastAsia" w:eastAsiaTheme="majorEastAsia" w:hAnsiTheme="majorEastAsia" w:hint="eastAsia"/>
          <w:szCs w:val="21"/>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7</w:t>
      </w:r>
      <w:r>
        <w:rPr>
          <w:rFonts w:asciiTheme="majorEastAsia" w:eastAsiaTheme="majorEastAsia" w:hAnsiTheme="majorEastAsia"/>
          <w:szCs w:val="21"/>
        </w:rPr>
        <w:t>.</w:t>
      </w:r>
      <w:r>
        <w:rPr>
          <w:rFonts w:asciiTheme="majorEastAsia" w:eastAsiaTheme="majorEastAsia" w:hAnsiTheme="majorEastAsia" w:hint="eastAsia"/>
          <w:szCs w:val="21"/>
        </w:rPr>
        <w:t>4投标人</w:t>
      </w:r>
      <w:bookmarkStart w:id="33" w:name="_Hlk72152753"/>
      <w:r>
        <w:rPr>
          <w:rFonts w:asciiTheme="majorEastAsia" w:eastAsiaTheme="majorEastAsia" w:hAnsiTheme="majorEastAsia" w:hint="eastAsia"/>
          <w:szCs w:val="21"/>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33"/>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7.6  工期要求：投标人在投标时对其所投项目应提交交货进度、交货计划等，在合同规定的时间内完成项目实施工作。</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7.7  投标人必须承担的设备运输、安装调试、验收检测和提供设备操作说明书、图纸等其他相关及类似的义务。</w:t>
      </w:r>
    </w:p>
    <w:p>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8．投标费用</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不论投标结果如何，投标人应承担其编制投标文件与递交投标文件所涉及的一切费用。</w:t>
      </w:r>
    </w:p>
    <w:p>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9．踏勘现场</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9.1如有需要（详见专用条款），采购人或采购代理机构将组织投标人对项目现场及周围环境进行踏勘，以便投标人获取有关编制投标文件和签署合同所需的资料。踏勘现场所发生的费用由投标人自行承担。投标人应按招标文件所约定的时间、地点踏勘现场。</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9.2投标人及其人员经过采购人的允许，可以进入采购人的项目现场踏勘。若招标文件要求投标人于统一时间地点踏勘现场的，投标人应当按时前往。</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9.3采购人应当通过采购代理机构向投标人提供有关现场的书面资料和数据。</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9.4任何人或任何组织在踏勘现场时向投标人提供的任何书面资料或口头承诺，未经采购代理机构在网上发布或书面通知，均作无效处理。</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9</w:t>
      </w:r>
      <w:r>
        <w:rPr>
          <w:rFonts w:asciiTheme="majorEastAsia" w:eastAsiaTheme="majorEastAsia" w:hAnsiTheme="majorEastAsia" w:hint="eastAsia"/>
          <w:szCs w:val="21"/>
        </w:rPr>
        <w:t>.</w:t>
      </w:r>
      <w:r>
        <w:rPr>
          <w:rFonts w:asciiTheme="majorEastAsia" w:eastAsiaTheme="majorEastAsia" w:hAnsiTheme="majorEastAsia"/>
          <w:szCs w:val="21"/>
        </w:rPr>
        <w:t>5</w:t>
      </w:r>
      <w:r>
        <w:rPr>
          <w:rFonts w:asciiTheme="majorEastAsia" w:eastAsiaTheme="majorEastAsia" w:hAnsiTheme="majorEastAsia" w:hint="eastAsia"/>
          <w:szCs w:val="21"/>
        </w:rPr>
        <w:t>未参与踏勘现场不作为否定投标人资格的理由。</w:t>
      </w:r>
    </w:p>
    <w:p>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1</w:t>
      </w:r>
      <w:r>
        <w:rPr>
          <w:rFonts w:asciiTheme="majorEastAsia" w:eastAsiaTheme="majorEastAsia" w:hAnsiTheme="majorEastAsia"/>
          <w:b/>
          <w:bCs/>
          <w:szCs w:val="21"/>
        </w:rPr>
        <w:t>0</w:t>
      </w:r>
      <w:r>
        <w:rPr>
          <w:rFonts w:asciiTheme="majorEastAsia" w:eastAsiaTheme="majorEastAsia" w:hAnsiTheme="majorEastAsia" w:hint="eastAsia"/>
          <w:b/>
          <w:bCs/>
          <w:szCs w:val="21"/>
        </w:rPr>
        <w:t>．标前会议</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w:t>
      </w:r>
      <w:r>
        <w:rPr>
          <w:rFonts w:asciiTheme="majorEastAsia" w:eastAsiaTheme="majorEastAsia" w:hAnsiTheme="majorEastAsia" w:hint="eastAsia"/>
          <w:szCs w:val="21"/>
        </w:rPr>
        <w:t>.</w:t>
      </w:r>
      <w:r>
        <w:rPr>
          <w:rFonts w:asciiTheme="majorEastAsia" w:eastAsiaTheme="majorEastAsia" w:hAnsiTheme="majorEastAsia"/>
          <w:szCs w:val="21"/>
        </w:rPr>
        <w:t>1</w:t>
      </w:r>
      <w:r>
        <w:rPr>
          <w:rFonts w:asciiTheme="majorEastAsia" w:eastAsiaTheme="majorEastAsia" w:hAnsiTheme="majorEastAsia" w:hint="eastAsia"/>
          <w:szCs w:val="21"/>
        </w:rPr>
        <w:t>如采购人或采购代理机构认为有必要组织标前会议，投标人应按照招标文件规定的时间或采购代理机构另行书面通知（包括采购代理机构网站发布方式，如更正公告等）的时间和地点，参与标前会议。</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10</w:t>
      </w:r>
      <w:r>
        <w:rPr>
          <w:rFonts w:asciiTheme="majorEastAsia" w:eastAsiaTheme="majorEastAsia" w:hAnsiTheme="majorEastAsia" w:hint="eastAsia"/>
          <w:szCs w:val="21"/>
        </w:rPr>
        <w:t>.</w:t>
      </w:r>
      <w:r>
        <w:rPr>
          <w:rFonts w:asciiTheme="majorEastAsia" w:eastAsiaTheme="majorEastAsia" w:hAnsiTheme="majorEastAsia"/>
          <w:szCs w:val="21"/>
        </w:rPr>
        <w:t>2</w:t>
      </w:r>
      <w:r>
        <w:rPr>
          <w:rFonts w:asciiTheme="majorEastAsia" w:eastAsiaTheme="majorEastAsia" w:hAnsiTheme="majorEastAsia" w:hint="eastAsia"/>
          <w:szCs w:val="21"/>
        </w:rPr>
        <w:t>任何人或任何组织在标前会议时向投标人提供的任何书面资料或口头承诺，未经采购代理机构在网上发布或书面通知，均作无效处理。</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w:t>
      </w:r>
      <w:r>
        <w:rPr>
          <w:rFonts w:asciiTheme="majorEastAsia" w:eastAsiaTheme="majorEastAsia" w:hAnsiTheme="majorEastAsia" w:hint="eastAsia"/>
          <w:szCs w:val="21"/>
        </w:rPr>
        <w:t>.</w:t>
      </w:r>
      <w:r>
        <w:rPr>
          <w:rFonts w:asciiTheme="majorEastAsia" w:eastAsiaTheme="majorEastAsia" w:hAnsiTheme="majorEastAsia"/>
          <w:szCs w:val="21"/>
        </w:rPr>
        <w:t>3</w:t>
      </w:r>
      <w:r>
        <w:rPr>
          <w:rFonts w:asciiTheme="majorEastAsia" w:eastAsiaTheme="majorEastAsia" w:hAnsiTheme="majorEastAsia" w:hint="eastAsia"/>
          <w:szCs w:val="21"/>
        </w:rPr>
        <w:t>未参与标前会议不作为否定投标人资格的理由。</w:t>
      </w:r>
    </w:p>
    <w:p>
      <w:pPr>
        <w:keepNext/>
        <w:keepLines/>
        <w:widowControl/>
        <w:numPr>
          <w:ilvl w:val="0"/>
          <w:numId w:val="2"/>
        </w:numPr>
        <w:adjustRightInd w:val="0"/>
        <w:spacing w:before="156" w:beforeLines="50" w:after="156" w:afterLines="50" w:line="360" w:lineRule="auto"/>
        <w:ind w:left="562" w:hanging="562"/>
        <w:jc w:val="center"/>
        <w:textAlignment w:val="baseline"/>
        <w:outlineLvl w:val="1"/>
        <w:rPr>
          <w:rFonts w:asciiTheme="majorEastAsia" w:eastAsiaTheme="majorEastAsia" w:hAnsiTheme="majorEastAsia"/>
          <w:b/>
          <w:bCs/>
          <w:kern w:val="0"/>
          <w:sz w:val="28"/>
          <w:szCs w:val="28"/>
        </w:rPr>
      </w:pPr>
      <w:bookmarkEnd w:id="32"/>
      <w:r>
        <w:rPr>
          <w:rFonts w:asciiTheme="majorEastAsia" w:eastAsiaTheme="majorEastAsia" w:hAnsiTheme="majorEastAsia" w:hint="eastAsia"/>
          <w:b/>
          <w:bCs/>
          <w:kern w:val="0"/>
          <w:sz w:val="28"/>
          <w:szCs w:val="28"/>
        </w:rPr>
        <w:t>招标文件</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1</w:t>
      </w:r>
      <w:r>
        <w:rPr>
          <w:rFonts w:asciiTheme="majorEastAsia" w:eastAsiaTheme="majorEastAsia" w:hAnsiTheme="majorEastAsia"/>
          <w:b/>
          <w:bCs/>
          <w:szCs w:val="21"/>
        </w:rPr>
        <w:t>1</w:t>
      </w:r>
      <w:r>
        <w:rPr>
          <w:rFonts w:asciiTheme="majorEastAsia" w:eastAsiaTheme="majorEastAsia" w:hAnsiTheme="majorEastAsia" w:hint="eastAsia"/>
          <w:b/>
          <w:bCs/>
          <w:szCs w:val="21"/>
        </w:rPr>
        <w:t>．</w:t>
      </w:r>
      <w:bookmarkStart w:id="34" w:name="_Hlk72399819"/>
      <w:r>
        <w:rPr>
          <w:rFonts w:asciiTheme="majorEastAsia" w:eastAsiaTheme="majorEastAsia" w:hAnsiTheme="majorEastAsia" w:hint="eastAsia"/>
          <w:b/>
          <w:bCs/>
          <w:szCs w:val="21"/>
        </w:rPr>
        <w:t>招标文件的编制与组成</w:t>
      </w:r>
    </w:p>
    <w:p>
      <w:pPr>
        <w:snapToGrid w:val="0"/>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1</w:t>
      </w:r>
      <w:r>
        <w:rPr>
          <w:rFonts w:asciiTheme="majorEastAsia" w:eastAsiaTheme="majorEastAsia" w:hAnsiTheme="majorEastAsia" w:hint="eastAsia"/>
          <w:szCs w:val="21"/>
        </w:rPr>
        <w:t>.1招标文件除以下内容外，采购代理机构在招标期间发出的澄清或修改等相关公告或通知内容，均是招标文件的组成部分，对投标人起约束作用；</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招标文件包括下列内容：</w:t>
      </w:r>
    </w:p>
    <w:p>
      <w:pPr>
        <w:spacing w:line="360" w:lineRule="auto"/>
        <w:ind w:left="420" w:firstLine="412" w:leftChars="200" w:firstLineChars="196"/>
        <w:rPr>
          <w:rFonts w:asciiTheme="majorEastAsia" w:eastAsiaTheme="majorEastAsia" w:hAnsiTheme="majorEastAsia"/>
          <w:b/>
          <w:szCs w:val="21"/>
        </w:rPr>
      </w:pPr>
      <w:r>
        <w:rPr>
          <w:rFonts w:asciiTheme="majorEastAsia" w:eastAsiaTheme="majorEastAsia" w:hAnsiTheme="majorEastAsia" w:hint="eastAsia"/>
          <w:b/>
          <w:szCs w:val="21"/>
        </w:rPr>
        <w:t>第一册  专用条款</w:t>
      </w:r>
    </w:p>
    <w:p>
      <w:pPr>
        <w:spacing w:line="360" w:lineRule="auto"/>
        <w:ind w:left="1079" w:leftChars="514"/>
        <w:rPr>
          <w:rFonts w:asciiTheme="majorEastAsia" w:eastAsiaTheme="majorEastAsia" w:hAnsiTheme="majorEastAsia"/>
          <w:b/>
          <w:szCs w:val="21"/>
        </w:rPr>
      </w:pPr>
      <w:r>
        <w:rPr>
          <w:rFonts w:asciiTheme="majorEastAsia" w:eastAsiaTheme="majorEastAsia" w:hAnsiTheme="majorEastAsia" w:hint="eastAsia"/>
          <w:b/>
          <w:szCs w:val="21"/>
        </w:rPr>
        <w:t>关键信息</w:t>
      </w:r>
    </w:p>
    <w:p>
      <w:pPr>
        <w:spacing w:line="360" w:lineRule="auto"/>
        <w:ind w:left="630" w:firstLine="412" w:leftChars="300" w:firstLineChars="196"/>
        <w:outlineLvl w:val="0"/>
        <w:rPr>
          <w:rFonts w:asciiTheme="majorEastAsia" w:eastAsiaTheme="majorEastAsia" w:hAnsiTheme="majorEastAsia"/>
          <w:szCs w:val="21"/>
        </w:rPr>
      </w:pPr>
      <w:r>
        <w:rPr>
          <w:rFonts w:asciiTheme="majorEastAsia" w:eastAsiaTheme="majorEastAsia" w:hAnsiTheme="majorEastAsia" w:hint="eastAsia"/>
          <w:szCs w:val="21"/>
        </w:rPr>
        <w:t>第一章  招标公告</w:t>
      </w:r>
    </w:p>
    <w:p>
      <w:pPr>
        <w:spacing w:line="360" w:lineRule="auto"/>
        <w:ind w:left="630" w:firstLine="412" w:leftChars="300" w:firstLineChars="196"/>
        <w:outlineLvl w:val="0"/>
        <w:rPr>
          <w:rFonts w:asciiTheme="majorEastAsia" w:eastAsiaTheme="majorEastAsia" w:hAnsiTheme="majorEastAsia"/>
          <w:szCs w:val="21"/>
        </w:rPr>
      </w:pPr>
      <w:r>
        <w:rPr>
          <w:rFonts w:asciiTheme="majorEastAsia" w:eastAsiaTheme="majorEastAsia" w:hAnsiTheme="majorEastAsia" w:hint="eastAsia"/>
          <w:szCs w:val="21"/>
        </w:rPr>
        <w:t>第二章  对通用条款的补充内容及其他关键信息</w:t>
      </w:r>
    </w:p>
    <w:p>
      <w:pPr>
        <w:spacing w:line="360" w:lineRule="auto"/>
        <w:ind w:left="630" w:firstLine="412" w:leftChars="300" w:firstLineChars="196"/>
        <w:outlineLvl w:val="0"/>
        <w:rPr>
          <w:rFonts w:asciiTheme="majorEastAsia" w:eastAsiaTheme="majorEastAsia" w:hAnsiTheme="majorEastAsia"/>
          <w:szCs w:val="21"/>
        </w:rPr>
      </w:pPr>
      <w:r>
        <w:rPr>
          <w:rFonts w:asciiTheme="majorEastAsia" w:eastAsiaTheme="majorEastAsia" w:hAnsiTheme="majorEastAsia" w:hint="eastAsia"/>
          <w:szCs w:val="21"/>
        </w:rPr>
        <w:t>第三章  用户需求书</w:t>
      </w:r>
    </w:p>
    <w:p>
      <w:pPr>
        <w:spacing w:line="360" w:lineRule="auto"/>
        <w:ind w:left="630" w:firstLine="412" w:leftChars="300" w:firstLineChars="196"/>
        <w:outlineLvl w:val="0"/>
        <w:rPr>
          <w:rFonts w:asciiTheme="majorEastAsia" w:eastAsiaTheme="majorEastAsia" w:hAnsiTheme="majorEastAsia"/>
          <w:szCs w:val="21"/>
        </w:rPr>
      </w:pPr>
      <w:r>
        <w:rPr>
          <w:rFonts w:asciiTheme="majorEastAsia" w:eastAsiaTheme="majorEastAsia" w:hAnsiTheme="majorEastAsia" w:hint="eastAsia"/>
          <w:szCs w:val="21"/>
        </w:rPr>
        <w:t>第四章  投标文件格式及附件</w:t>
      </w:r>
    </w:p>
    <w:p>
      <w:pPr>
        <w:spacing w:line="360" w:lineRule="auto"/>
        <w:ind w:left="630" w:firstLine="412" w:leftChars="300" w:firstLineChars="196"/>
        <w:outlineLvl w:val="0"/>
        <w:rPr>
          <w:rFonts w:asciiTheme="majorEastAsia" w:eastAsiaTheme="majorEastAsia" w:hAnsiTheme="majorEastAsia"/>
          <w:szCs w:val="21"/>
        </w:rPr>
      </w:pPr>
      <w:r>
        <w:rPr>
          <w:rFonts w:asciiTheme="majorEastAsia" w:eastAsiaTheme="majorEastAsia" w:hAnsiTheme="majorEastAsia" w:hint="eastAsia"/>
          <w:szCs w:val="21"/>
        </w:rPr>
        <w:t>第五章  合同条款及格式</w:t>
      </w:r>
    </w:p>
    <w:p>
      <w:pPr>
        <w:spacing w:line="360" w:lineRule="auto"/>
        <w:ind w:left="420" w:firstLine="412" w:leftChars="200" w:firstLineChars="196"/>
        <w:outlineLvl w:val="0"/>
        <w:rPr>
          <w:rFonts w:asciiTheme="majorEastAsia" w:eastAsiaTheme="majorEastAsia" w:hAnsiTheme="majorEastAsia"/>
          <w:b/>
          <w:szCs w:val="21"/>
        </w:rPr>
      </w:pPr>
      <w:r>
        <w:rPr>
          <w:rFonts w:asciiTheme="majorEastAsia" w:eastAsiaTheme="majorEastAsia" w:hAnsiTheme="majorEastAsia" w:hint="eastAsia"/>
          <w:b/>
          <w:szCs w:val="21"/>
        </w:rPr>
        <w:t>第二册  通用条款</w:t>
      </w:r>
    </w:p>
    <w:p>
      <w:pPr>
        <w:spacing w:line="360" w:lineRule="auto"/>
        <w:ind w:left="630" w:firstLine="412" w:leftChars="300" w:firstLineChars="196"/>
        <w:outlineLvl w:val="0"/>
        <w:rPr>
          <w:rFonts w:asciiTheme="majorEastAsia" w:eastAsiaTheme="majorEastAsia" w:hAnsiTheme="majorEastAsia"/>
          <w:szCs w:val="21"/>
        </w:rPr>
      </w:pPr>
      <w:r>
        <w:rPr>
          <w:rFonts w:asciiTheme="majorEastAsia" w:eastAsiaTheme="majorEastAsia" w:hAnsiTheme="majorEastAsia" w:hint="eastAsia"/>
          <w:szCs w:val="21"/>
        </w:rPr>
        <w:t>第一章  总则</w:t>
      </w:r>
    </w:p>
    <w:p>
      <w:pPr>
        <w:spacing w:line="360" w:lineRule="auto"/>
        <w:ind w:left="630" w:firstLine="412" w:leftChars="300" w:firstLineChars="196"/>
        <w:outlineLvl w:val="0"/>
        <w:rPr>
          <w:rFonts w:asciiTheme="majorEastAsia" w:eastAsiaTheme="majorEastAsia" w:hAnsiTheme="majorEastAsia"/>
          <w:szCs w:val="21"/>
        </w:rPr>
      </w:pPr>
      <w:r>
        <w:rPr>
          <w:rFonts w:asciiTheme="majorEastAsia" w:eastAsiaTheme="majorEastAsia" w:hAnsiTheme="majorEastAsia" w:hint="eastAsia"/>
          <w:szCs w:val="21"/>
        </w:rPr>
        <w:t>第二章  招标文件</w:t>
      </w:r>
    </w:p>
    <w:p>
      <w:pPr>
        <w:spacing w:line="360" w:lineRule="auto"/>
        <w:ind w:left="630" w:firstLine="412" w:leftChars="300" w:firstLineChars="196"/>
        <w:outlineLvl w:val="0"/>
        <w:rPr>
          <w:rFonts w:asciiTheme="majorEastAsia" w:eastAsiaTheme="majorEastAsia" w:hAnsiTheme="majorEastAsia"/>
          <w:szCs w:val="21"/>
        </w:rPr>
      </w:pPr>
      <w:r>
        <w:rPr>
          <w:rFonts w:asciiTheme="majorEastAsia" w:eastAsiaTheme="majorEastAsia" w:hAnsiTheme="majorEastAsia" w:hint="eastAsia"/>
          <w:szCs w:val="21"/>
        </w:rPr>
        <w:t>第三章  投标文件的编制</w:t>
      </w:r>
    </w:p>
    <w:p>
      <w:pPr>
        <w:spacing w:line="360" w:lineRule="auto"/>
        <w:ind w:left="630" w:firstLine="412" w:leftChars="300" w:firstLineChars="196"/>
        <w:outlineLvl w:val="0"/>
        <w:rPr>
          <w:rFonts w:asciiTheme="majorEastAsia" w:eastAsiaTheme="majorEastAsia" w:hAnsiTheme="majorEastAsia"/>
          <w:szCs w:val="21"/>
        </w:rPr>
      </w:pPr>
      <w:r>
        <w:rPr>
          <w:rFonts w:asciiTheme="majorEastAsia" w:eastAsiaTheme="majorEastAsia" w:hAnsiTheme="majorEastAsia" w:hint="eastAsia"/>
          <w:szCs w:val="21"/>
        </w:rPr>
        <w:t>第四章  投标文件的递交</w:t>
      </w:r>
    </w:p>
    <w:p>
      <w:pPr>
        <w:spacing w:line="360" w:lineRule="auto"/>
        <w:ind w:left="630" w:firstLine="412" w:leftChars="300" w:firstLineChars="196"/>
        <w:outlineLvl w:val="0"/>
        <w:rPr>
          <w:rFonts w:asciiTheme="majorEastAsia" w:eastAsiaTheme="majorEastAsia" w:hAnsiTheme="majorEastAsia"/>
          <w:szCs w:val="21"/>
        </w:rPr>
      </w:pPr>
      <w:r>
        <w:rPr>
          <w:rFonts w:asciiTheme="majorEastAsia" w:eastAsiaTheme="majorEastAsia" w:hAnsiTheme="majorEastAsia" w:hint="eastAsia"/>
          <w:szCs w:val="21"/>
        </w:rPr>
        <w:t>第五章  开标</w:t>
      </w:r>
    </w:p>
    <w:p>
      <w:pPr>
        <w:spacing w:line="360" w:lineRule="auto"/>
        <w:ind w:left="630" w:firstLine="412" w:leftChars="300" w:firstLineChars="196"/>
        <w:outlineLvl w:val="0"/>
        <w:rPr>
          <w:rFonts w:asciiTheme="majorEastAsia" w:eastAsiaTheme="majorEastAsia" w:hAnsiTheme="majorEastAsia"/>
          <w:szCs w:val="21"/>
        </w:rPr>
      </w:pPr>
      <w:r>
        <w:rPr>
          <w:rFonts w:asciiTheme="majorEastAsia" w:eastAsiaTheme="majorEastAsia" w:hAnsiTheme="majorEastAsia" w:hint="eastAsia"/>
          <w:szCs w:val="21"/>
        </w:rPr>
        <w:t>第六章  评审要求</w:t>
      </w:r>
    </w:p>
    <w:p>
      <w:pPr>
        <w:spacing w:line="360" w:lineRule="auto"/>
        <w:ind w:left="630" w:firstLine="412" w:leftChars="300" w:firstLineChars="196"/>
        <w:outlineLvl w:val="0"/>
        <w:rPr>
          <w:rFonts w:asciiTheme="majorEastAsia" w:eastAsiaTheme="majorEastAsia" w:hAnsiTheme="majorEastAsia"/>
          <w:szCs w:val="21"/>
        </w:rPr>
      </w:pPr>
      <w:r>
        <w:rPr>
          <w:rFonts w:asciiTheme="majorEastAsia" w:eastAsiaTheme="majorEastAsia" w:hAnsiTheme="majorEastAsia" w:hint="eastAsia"/>
          <w:szCs w:val="21"/>
        </w:rPr>
        <w:t>第七章  评审程序及评审方法</w:t>
      </w:r>
    </w:p>
    <w:p>
      <w:pPr>
        <w:spacing w:line="360" w:lineRule="auto"/>
        <w:ind w:left="630" w:firstLine="412" w:leftChars="300" w:firstLineChars="196"/>
        <w:outlineLvl w:val="0"/>
        <w:rPr>
          <w:rFonts w:asciiTheme="majorEastAsia" w:eastAsiaTheme="majorEastAsia" w:hAnsiTheme="majorEastAsia"/>
          <w:szCs w:val="21"/>
        </w:rPr>
      </w:pPr>
      <w:r>
        <w:rPr>
          <w:rFonts w:asciiTheme="majorEastAsia" w:eastAsiaTheme="majorEastAsia" w:hAnsiTheme="majorEastAsia" w:hint="eastAsia"/>
          <w:szCs w:val="21"/>
        </w:rPr>
        <w:t>第八章  定标及公示</w:t>
      </w:r>
    </w:p>
    <w:p>
      <w:pPr>
        <w:spacing w:line="360" w:lineRule="auto"/>
        <w:ind w:left="630" w:firstLine="412" w:leftChars="300" w:firstLineChars="196"/>
        <w:outlineLvl w:val="0"/>
        <w:rPr>
          <w:rFonts w:asciiTheme="majorEastAsia" w:eastAsiaTheme="majorEastAsia" w:hAnsiTheme="majorEastAsia"/>
          <w:szCs w:val="21"/>
        </w:rPr>
      </w:pPr>
      <w:r>
        <w:rPr>
          <w:rFonts w:asciiTheme="majorEastAsia" w:eastAsiaTheme="majorEastAsia" w:hAnsiTheme="majorEastAsia" w:hint="eastAsia"/>
          <w:szCs w:val="21"/>
        </w:rPr>
        <w:t>第九章  公开招标失败的后续处理</w:t>
      </w:r>
    </w:p>
    <w:p>
      <w:pPr>
        <w:spacing w:line="360" w:lineRule="auto"/>
        <w:ind w:left="630" w:firstLine="412" w:leftChars="300" w:firstLineChars="196"/>
        <w:outlineLvl w:val="0"/>
        <w:rPr>
          <w:rFonts w:asciiTheme="majorEastAsia" w:eastAsiaTheme="majorEastAsia" w:hAnsiTheme="majorEastAsia"/>
          <w:szCs w:val="21"/>
        </w:rPr>
      </w:pPr>
      <w:r>
        <w:rPr>
          <w:rFonts w:asciiTheme="majorEastAsia" w:eastAsiaTheme="majorEastAsia" w:hAnsiTheme="majorEastAsia" w:hint="eastAsia"/>
          <w:szCs w:val="21"/>
        </w:rPr>
        <w:t>第十章  合同的授予与备案</w:t>
      </w:r>
    </w:p>
    <w:p>
      <w:pPr>
        <w:spacing w:line="360" w:lineRule="auto"/>
        <w:ind w:left="630" w:firstLine="412" w:leftChars="300" w:firstLineChars="196"/>
        <w:outlineLvl w:val="0"/>
        <w:rPr>
          <w:rFonts w:asciiTheme="majorEastAsia" w:eastAsiaTheme="majorEastAsia" w:hAnsiTheme="majorEastAsia"/>
          <w:szCs w:val="21"/>
        </w:rPr>
      </w:pPr>
      <w:r>
        <w:rPr>
          <w:rFonts w:asciiTheme="majorEastAsia" w:eastAsiaTheme="majorEastAsia" w:hAnsiTheme="majorEastAsia" w:hint="eastAsia"/>
          <w:szCs w:val="21"/>
        </w:rPr>
        <w:t>第十一章  质疑处理</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1</w:t>
      </w:r>
      <w:r>
        <w:rPr>
          <w:rFonts w:asciiTheme="majorEastAsia" w:eastAsiaTheme="majorEastAsia" w:hAnsiTheme="majorEastAsia" w:hint="eastAsia"/>
          <w:szCs w:val="21"/>
        </w:rPr>
        <w:t>.2 投标人下载招标文件后，应仔细检查招标文件的所有内容，如有疑问应在答疑截止时间之前向采购代理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1</w:t>
      </w:r>
      <w:r>
        <w:rPr>
          <w:rFonts w:asciiTheme="majorEastAsia" w:eastAsiaTheme="majorEastAsia" w:hAnsiTheme="majorEastAsia" w:hint="eastAsia"/>
          <w:szCs w:val="21"/>
        </w:rPr>
        <w:t>.3任何人或任何组织向投标人提交的任何书面或口头资料，未经采购代理机构在网上发布或书面通知，均作无效处理，不得作为招标文件的组成部分。采购代理机构对投标人由此而做出的推论、理解和结论概不负责。</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1</w:t>
      </w:r>
      <w:r>
        <w:rPr>
          <w:rFonts w:asciiTheme="majorEastAsia" w:eastAsiaTheme="majorEastAsia" w:hAnsiTheme="majorEastAsia"/>
          <w:b/>
          <w:bCs/>
          <w:szCs w:val="21"/>
        </w:rPr>
        <w:t>2</w:t>
      </w:r>
      <w:r>
        <w:rPr>
          <w:rFonts w:asciiTheme="majorEastAsia" w:eastAsiaTheme="majorEastAsia" w:hAnsiTheme="majorEastAsia" w:hint="eastAsia"/>
          <w:b/>
          <w:bCs/>
          <w:szCs w:val="21"/>
        </w:rPr>
        <w:t>．招标文件的澄清</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2</w:t>
      </w:r>
      <w:r>
        <w:rPr>
          <w:rFonts w:asciiTheme="majorEastAsia" w:eastAsiaTheme="majorEastAsia" w:hAnsiTheme="majorEastAsia" w:hint="eastAsia"/>
          <w:szCs w:val="21"/>
        </w:rPr>
        <w:t>.1招标文件澄清的目的是澄清、解答投标人在查阅招标文件后或现场踏勘中可能提出的与投标有关的疑问或询问。</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2</w:t>
      </w:r>
      <w:r>
        <w:rPr>
          <w:rFonts w:asciiTheme="majorEastAsia" w:eastAsiaTheme="majorEastAsia" w:hAnsiTheme="majorEastAsia" w:hint="eastAsia"/>
          <w:szCs w:val="21"/>
        </w:rPr>
        <w:t>.2投标人如对招标文件内容有疑问，应当在招标公告规定的澄清（提问）截止时间前以网上提问的形式通过网上政府采购系统提交采购代理机构。</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2</w:t>
      </w:r>
      <w:r>
        <w:rPr>
          <w:rFonts w:asciiTheme="majorEastAsia" w:eastAsiaTheme="majorEastAsia" w:hAnsiTheme="majorEastAsia" w:hint="eastAsia"/>
          <w:szCs w:val="21"/>
        </w:rPr>
        <w:t>.3不论是采购代理机构根据需要主动对招标文件进行必要的澄清或是根据投标人的要求对招标文件做出澄清，采购代理机构都将在投标截止日期前以书面形式（包括采购代理机构网站发布方式）答复或发送给所有投标人。答复内容是招标文件的组成部分，对投标人起约束作用，其有效性按照本通用条款第1</w:t>
      </w:r>
      <w:r>
        <w:rPr>
          <w:rFonts w:asciiTheme="majorEastAsia" w:eastAsiaTheme="majorEastAsia" w:hAnsiTheme="majorEastAsia"/>
          <w:szCs w:val="21"/>
        </w:rPr>
        <w:t>3.3</w:t>
      </w:r>
      <w:r>
        <w:rPr>
          <w:rFonts w:asciiTheme="majorEastAsia" w:eastAsiaTheme="majorEastAsia" w:hAnsiTheme="majorEastAsia" w:hint="eastAsia"/>
          <w:szCs w:val="21"/>
        </w:rPr>
        <w:t>、1</w:t>
      </w:r>
      <w:r>
        <w:rPr>
          <w:rFonts w:asciiTheme="majorEastAsia" w:eastAsiaTheme="majorEastAsia" w:hAnsiTheme="majorEastAsia"/>
          <w:szCs w:val="21"/>
        </w:rPr>
        <w:t>3.4</w:t>
      </w:r>
      <w:r>
        <w:rPr>
          <w:rFonts w:asciiTheme="majorEastAsia" w:eastAsiaTheme="majorEastAsia" w:hAnsiTheme="majorEastAsia" w:hint="eastAsia"/>
          <w:szCs w:val="21"/>
        </w:rPr>
        <w:t>款规定执行。</w:t>
      </w:r>
    </w:p>
    <w:p>
      <w:pPr>
        <w:spacing w:line="360" w:lineRule="auto"/>
        <w:rPr>
          <w:rFonts w:asciiTheme="majorEastAsia" w:eastAsiaTheme="majorEastAsia" w:hAnsiTheme="majorEastAsia"/>
          <w:b/>
          <w:bCs/>
          <w:szCs w:val="21"/>
        </w:rPr>
      </w:pPr>
      <w:r>
        <w:rPr>
          <w:rFonts w:asciiTheme="majorEastAsia" w:eastAsiaTheme="majorEastAsia" w:hAnsiTheme="majorEastAsia"/>
          <w:b/>
          <w:bCs/>
          <w:szCs w:val="21"/>
        </w:rPr>
        <w:t>1</w:t>
      </w:r>
      <w:r>
        <w:rPr>
          <w:rFonts w:asciiTheme="majorEastAsia" w:eastAsiaTheme="majorEastAsia" w:hAnsiTheme="majorEastAsia" w:hint="eastAsia"/>
          <w:b/>
          <w:bCs/>
          <w:szCs w:val="21"/>
        </w:rPr>
        <w:t>3．招标文件的修改</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3.1招标文件发出后，在投标截止日期前任何时候，确需要变更招标文件内容的，采购代理机构可主动或在解答投标人提出的澄清问题时对招标文件进行修改。</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3.2招标文件的修改以书面形式（包括采购代理机构网站发布方式，如更正公告等）发送给所有投标人，招标文件的修改内容作为招标文件的组成部分，并具有约束力。</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3.3招标文件、招标文件澄清答复内容、招标文件修改补充内容均以书面形式（包括采购代理机构网站公开发布方式，如更正公告等）明确的内容为准。当招标文件、修改补充通知、招标文件澄清答复内容相互矛盾时，以最后发出的内容为准。</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3.4采购代理机构保证招标文件澄清答复内容和招标文件修改补充内容在投标截止时间前以书面形式（包括采购代理机构网站发布方式，如更正公告等）发送给所有投标人。为使投标人在编制投标文件时有充分时间对招标文件的修改部分进行研究，采购代理机构可以酌情延长递交投标文件的截止日期。</w:t>
      </w:r>
      <w:bookmarkEnd w:id="34"/>
    </w:p>
    <w:p>
      <w:pPr>
        <w:keepNext/>
        <w:keepLines/>
        <w:widowControl/>
        <w:numPr>
          <w:ilvl w:val="0"/>
          <w:numId w:val="2"/>
        </w:numPr>
        <w:adjustRightInd w:val="0"/>
        <w:spacing w:before="156" w:beforeLines="50" w:after="156" w:afterLines="50" w:line="360" w:lineRule="auto"/>
        <w:ind w:left="562" w:hanging="562"/>
        <w:jc w:val="center"/>
        <w:textAlignment w:val="baseline"/>
        <w:outlineLvl w:val="1"/>
        <w:rPr>
          <w:rFonts w:asciiTheme="majorEastAsia" w:eastAsiaTheme="majorEastAsia" w:hAnsiTheme="majorEastAsia"/>
          <w:b/>
          <w:bCs/>
          <w:kern w:val="0"/>
          <w:sz w:val="28"/>
          <w:szCs w:val="28"/>
        </w:rPr>
      </w:pPr>
      <w:r>
        <w:rPr>
          <w:rFonts w:asciiTheme="majorEastAsia" w:eastAsiaTheme="majorEastAsia" w:hAnsiTheme="majorEastAsia" w:hint="eastAsia"/>
          <w:b/>
          <w:bCs/>
          <w:kern w:val="0"/>
          <w:sz w:val="28"/>
          <w:szCs w:val="28"/>
        </w:rPr>
        <w:t>投标文件的编制</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14．</w:t>
      </w:r>
      <w:bookmarkStart w:id="35" w:name="_Hlk72400236"/>
      <w:r>
        <w:rPr>
          <w:rFonts w:asciiTheme="majorEastAsia" w:eastAsiaTheme="majorEastAsia" w:hAnsiTheme="majorEastAsia" w:hint="eastAsia"/>
          <w:b/>
          <w:bCs/>
          <w:szCs w:val="21"/>
        </w:rPr>
        <w:t>投标文件的语言及度量单位</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14.1 投标人与采购代理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14.2 除技术规范另有规定外，投标文件使用的度量单位，均采用中华人民共和国法定计量单位。</w:t>
      </w:r>
    </w:p>
    <w:p>
      <w:pPr>
        <w:spacing w:line="360" w:lineRule="auto"/>
        <w:rPr>
          <w:rFonts w:asciiTheme="majorEastAsia" w:eastAsiaTheme="majorEastAsia" w:hAnsiTheme="majorEastAsia"/>
          <w:b/>
          <w:bCs/>
          <w:szCs w:val="21"/>
        </w:rPr>
      </w:pPr>
      <w:bookmarkEnd w:id="35"/>
      <w:r>
        <w:rPr>
          <w:rFonts w:asciiTheme="majorEastAsia" w:eastAsiaTheme="majorEastAsia" w:hAnsiTheme="majorEastAsia" w:hint="eastAsia"/>
          <w:b/>
          <w:bCs/>
          <w:szCs w:val="21"/>
        </w:rPr>
        <w:t>15．</w:t>
      </w:r>
      <w:bookmarkStart w:id="36" w:name="_Hlk72401567"/>
      <w:r>
        <w:rPr>
          <w:rFonts w:asciiTheme="majorEastAsia" w:eastAsiaTheme="majorEastAsia" w:hAnsiTheme="majorEastAsia" w:hint="eastAsia"/>
          <w:b/>
          <w:bCs/>
          <w:szCs w:val="21"/>
        </w:rPr>
        <w:t>投标文件的组成</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具体内容在招标文件专用条款中进行规定。</w:t>
      </w:r>
    </w:p>
    <w:p>
      <w:pPr>
        <w:spacing w:line="360" w:lineRule="auto"/>
        <w:rPr>
          <w:rFonts w:asciiTheme="majorEastAsia" w:eastAsiaTheme="majorEastAsia" w:hAnsiTheme="majorEastAsia"/>
          <w:b/>
          <w:bCs/>
          <w:szCs w:val="21"/>
        </w:rPr>
      </w:pPr>
      <w:r>
        <w:rPr>
          <w:rFonts w:asciiTheme="majorEastAsia" w:eastAsiaTheme="majorEastAsia" w:hAnsiTheme="majorEastAsia"/>
          <w:b/>
          <w:bCs/>
          <w:szCs w:val="21"/>
        </w:rPr>
        <w:t>16．投标文件格式</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投标文件包括本通用条款第</w:t>
      </w:r>
      <w:r>
        <w:rPr>
          <w:rFonts w:asciiTheme="majorEastAsia" w:eastAsiaTheme="majorEastAsia" w:hAnsiTheme="majorEastAsia"/>
          <w:szCs w:val="21"/>
        </w:rPr>
        <w:t>15条中规定的内容。如招标文件提供了投标文件格式，则</w:t>
      </w:r>
      <w:r>
        <w:rPr>
          <w:rFonts w:asciiTheme="majorEastAsia" w:eastAsiaTheme="majorEastAsia" w:hAnsiTheme="majorEastAsia" w:hint="eastAsia"/>
          <w:b/>
          <w:bCs/>
          <w:szCs w:val="21"/>
        </w:rPr>
        <w:t>投标人提交的投标文件应毫无例外地使用招标文件所提供的相应格式</w:t>
      </w:r>
      <w:r>
        <w:rPr>
          <w:rFonts w:asciiTheme="majorEastAsia" w:eastAsiaTheme="majorEastAsia" w:hAnsiTheme="majorEastAsia" w:hint="eastAsia"/>
          <w:szCs w:val="21"/>
        </w:rPr>
        <w:t>（表格均可按同样格式扩展）。</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17．投标货币</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本项目的投标报价应以人民币计。</w:t>
      </w:r>
    </w:p>
    <w:p>
      <w:pPr>
        <w:spacing w:line="360" w:lineRule="auto"/>
        <w:rPr>
          <w:rFonts w:asciiTheme="majorEastAsia" w:eastAsiaTheme="majorEastAsia" w:hAnsiTheme="majorEastAsia"/>
          <w:b/>
          <w:bCs/>
          <w:szCs w:val="21"/>
        </w:rPr>
      </w:pPr>
      <w:bookmarkEnd w:id="36"/>
      <w:r>
        <w:rPr>
          <w:rFonts w:asciiTheme="majorEastAsia" w:eastAsiaTheme="majorEastAsia" w:hAnsiTheme="majorEastAsia" w:hint="eastAsia"/>
          <w:b/>
          <w:bCs/>
          <w:szCs w:val="21"/>
        </w:rPr>
        <w:t>18．</w:t>
      </w:r>
      <w:bookmarkStart w:id="37" w:name="_Hlk72401735"/>
      <w:r>
        <w:rPr>
          <w:rFonts w:asciiTheme="majorEastAsia" w:eastAsiaTheme="majorEastAsia" w:hAnsiTheme="majorEastAsia" w:hint="eastAsia"/>
          <w:b/>
          <w:bCs/>
          <w:szCs w:val="21"/>
        </w:rPr>
        <w:t>证明投标文件投标技术方案的合格性和符合招标文件规定的文件要求</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18</w:t>
      </w:r>
      <w:r>
        <w:rPr>
          <w:rFonts w:asciiTheme="majorEastAsia" w:eastAsiaTheme="majorEastAsia" w:hAnsiTheme="majorEastAsia"/>
          <w:szCs w:val="21"/>
        </w:rPr>
        <w:t xml:space="preserve">.1 </w:t>
      </w:r>
      <w:r>
        <w:rPr>
          <w:rFonts w:asciiTheme="majorEastAsia" w:eastAsiaTheme="majorEastAsia" w:hAnsiTheme="majorEastAsia" w:hint="eastAsia"/>
          <w:szCs w:val="21"/>
        </w:rPr>
        <w:t>投标人应提交证明文件，证明其投标技术方案项下的货物和服务的合格性符合招标文件规定。该投标技术方案及其证明文件均作为投标文件组成部分。</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8</w:t>
      </w:r>
      <w:r>
        <w:rPr>
          <w:rFonts w:asciiTheme="majorEastAsia" w:eastAsiaTheme="majorEastAsia" w:hAnsiTheme="majorEastAsia"/>
          <w:szCs w:val="21"/>
        </w:rPr>
        <w:t xml:space="preserve">.2 </w:t>
      </w:r>
      <w:r>
        <w:rPr>
          <w:rFonts w:asciiTheme="majorEastAsia" w:eastAsiaTheme="majorEastAsia" w:hAnsiTheme="majorEastAsia" w:hint="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18.2.1主要技术指标和性能的详细说明。</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18.2.</w:t>
      </w:r>
      <w:r>
        <w:rPr>
          <w:rFonts w:asciiTheme="majorEastAsia" w:eastAsiaTheme="majorEastAsia" w:hAnsiTheme="majorEastAsia"/>
          <w:szCs w:val="21"/>
        </w:rPr>
        <w:t>2</w:t>
      </w:r>
      <w:r>
        <w:rPr>
          <w:rFonts w:asciiTheme="majorEastAsia" w:eastAsiaTheme="majorEastAsia" w:hAnsiTheme="majorEastAsia" w:hint="eastAsia"/>
          <w:szCs w:val="21"/>
        </w:rPr>
        <w:t>投标产品从采购人开始使用至招标文件中规定的周期内正常、连续地使用所必须的备件和专用工具清单，包括备件和专用工具的货源及现行价格。</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18.2.</w:t>
      </w:r>
      <w:r>
        <w:rPr>
          <w:rFonts w:asciiTheme="majorEastAsia" w:eastAsiaTheme="majorEastAsia" w:hAnsiTheme="majorEastAsia"/>
          <w:szCs w:val="21"/>
        </w:rPr>
        <w:t>3</w:t>
      </w:r>
      <w:r>
        <w:rPr>
          <w:rFonts w:asciiTheme="majorEastAsia" w:eastAsiaTheme="majorEastAsia" w:hAnsiTheme="majorEastAsia" w:hint="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要求能够使用电脑阅读、识别和判断；</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18.2.5我国政府机构出具的产品检验和核准证件应为证件正面、背面和附件标注的全部具体内容；产品检验和核准证件的尺寸和清晰度应该能够在电脑上被阅读、识别和判断，提供原件扫描件。</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18.3相关资料不符合18.2款要求的，评审委员会有权认定为投标技术方案不合格响应，其相关分数予以扣减或作投标无效处理。</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8</w:t>
      </w:r>
      <w:r>
        <w:rPr>
          <w:rFonts w:asciiTheme="majorEastAsia" w:eastAsiaTheme="majorEastAsia" w:hAnsiTheme="majorEastAsia"/>
          <w:szCs w:val="21"/>
        </w:rPr>
        <w:t>.</w:t>
      </w:r>
      <w:r>
        <w:rPr>
          <w:rFonts w:asciiTheme="majorEastAsia" w:eastAsiaTheme="majorEastAsia" w:hAnsiTheme="majorEastAsia" w:hint="eastAsia"/>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满足要求，由评审委员会来评判。</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18.5除非另有规定或说明，投标人对同一项目投标时，不得同时提供两套或两套以上的投标方案。</w:t>
      </w:r>
    </w:p>
    <w:p>
      <w:pPr>
        <w:spacing w:line="360" w:lineRule="auto"/>
        <w:rPr>
          <w:rFonts w:asciiTheme="majorEastAsia" w:eastAsiaTheme="majorEastAsia" w:hAnsiTheme="majorEastAsia"/>
          <w:b/>
          <w:bCs/>
          <w:szCs w:val="21"/>
        </w:rPr>
      </w:pPr>
      <w:bookmarkEnd w:id="37"/>
      <w:r>
        <w:rPr>
          <w:rFonts w:asciiTheme="majorEastAsia" w:eastAsiaTheme="majorEastAsia" w:hAnsiTheme="majorEastAsia" w:hint="eastAsia"/>
          <w:b/>
          <w:bCs/>
          <w:szCs w:val="21"/>
        </w:rPr>
        <w:t>19．</w:t>
      </w:r>
      <w:bookmarkStart w:id="38" w:name="_Hlk72402034"/>
      <w:r>
        <w:rPr>
          <w:rFonts w:asciiTheme="majorEastAsia" w:eastAsiaTheme="majorEastAsia" w:hAnsiTheme="majorEastAsia" w:hint="eastAsia"/>
          <w:b/>
          <w:bCs/>
          <w:szCs w:val="21"/>
        </w:rPr>
        <w:t>投标文件其他证明文件的要求</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39" w:name="_Hlk71407299"/>
    </w:p>
    <w:p>
      <w:pPr>
        <w:spacing w:line="360" w:lineRule="auto"/>
        <w:ind w:firstLine="412" w:firstLineChars="196"/>
        <w:rPr>
          <w:rFonts w:asciiTheme="majorEastAsia" w:eastAsiaTheme="majorEastAsia" w:hAnsiTheme="majorEastAsia"/>
          <w:szCs w:val="21"/>
        </w:rPr>
      </w:pPr>
      <w:bookmarkEnd w:id="39"/>
      <w:r>
        <w:rPr>
          <w:rFonts w:asciiTheme="majorEastAsia" w:eastAsiaTheme="majorEastAsia" w:hAnsiTheme="majorEastAsia" w:hint="eastAsia"/>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20．投标有效期</w:t>
      </w:r>
    </w:p>
    <w:p>
      <w:pPr>
        <w:spacing w:line="360" w:lineRule="auto"/>
        <w:ind w:firstLine="412" w:firstLineChars="196"/>
        <w:rPr>
          <w:rFonts w:asciiTheme="majorEastAsia" w:eastAsiaTheme="majorEastAsia" w:hAnsiTheme="majorEastAsia"/>
          <w:szCs w:val="21"/>
        </w:rPr>
      </w:pPr>
      <w:bookmarkEnd w:id="38"/>
      <w:bookmarkStart w:id="40" w:name="_Hlk72402214"/>
      <w:r>
        <w:rPr>
          <w:rFonts w:asciiTheme="majorEastAsia" w:eastAsiaTheme="majorEastAsia" w:hAnsiTheme="majorEastAsia" w:hint="eastAsia"/>
          <w:szCs w:val="21"/>
        </w:rPr>
        <w:t>20.1 投标有效期为</w:t>
      </w:r>
      <w:r>
        <w:rPr>
          <w:rFonts w:asciiTheme="majorEastAsia" w:eastAsiaTheme="majorEastAsia" w:hAnsiTheme="majorEastAsia" w:cs="Arial" w:hint="eastAsia"/>
          <w:szCs w:val="21"/>
        </w:rPr>
        <w:t>从投标截止之日算起的日历天数。</w:t>
      </w:r>
      <w:r>
        <w:rPr>
          <w:rFonts w:asciiTheme="majorEastAsia" w:eastAsiaTheme="majorEastAsia" w:hAnsiTheme="majorEastAsia" w:hint="eastAsia"/>
          <w:szCs w:val="21"/>
        </w:rPr>
        <w:t>在此期限内，所有投标文件均保持有效。</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20.2 在特殊情况下，采购代理机构在原定的投标有效期满之前，可以根据需要以书面形式（包括采购代理机构网站公开发布方式）向投标人提出延长投标有效期的要求，对此要求投标人须以书面形式予以答复，投标人可以拒绝采购代理机构此项要求，其投标在原投标有效期满后不再有效。同意延长投标有效期的投标人不能要求也不允许修改其投标文件。</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20</w:t>
      </w:r>
      <w:r>
        <w:rPr>
          <w:rFonts w:asciiTheme="majorEastAsia" w:eastAsiaTheme="majorEastAsia" w:hAnsiTheme="majorEastAsia"/>
          <w:szCs w:val="21"/>
        </w:rPr>
        <w:t>.3</w:t>
      </w:r>
      <w:r>
        <w:rPr>
          <w:rFonts w:asciiTheme="majorEastAsia" w:eastAsiaTheme="majorEastAsia" w:hAnsiTheme="majorEastAsia" w:hint="eastAsia"/>
          <w:szCs w:val="21"/>
        </w:rPr>
        <w:t xml:space="preserve"> 中标供应商的投标文件有效期，截止于完成本招标文件规定的全部项目内容，并通过竣工验收及保修期结束。</w:t>
      </w:r>
    </w:p>
    <w:p>
      <w:pPr>
        <w:spacing w:line="360" w:lineRule="auto"/>
        <w:rPr>
          <w:rFonts w:asciiTheme="majorEastAsia" w:eastAsiaTheme="majorEastAsia" w:hAnsiTheme="majorEastAsia"/>
          <w:szCs w:val="21"/>
        </w:rPr>
      </w:pPr>
      <w:bookmarkEnd w:id="40"/>
      <w:r>
        <w:rPr>
          <w:rFonts w:asciiTheme="majorEastAsia" w:eastAsiaTheme="majorEastAsia" w:hAnsiTheme="majorEastAsia" w:hint="eastAsia"/>
          <w:szCs w:val="21"/>
        </w:rPr>
        <w:t>21．</w:t>
      </w:r>
      <w:bookmarkStart w:id="41" w:name="_Hlk72402325"/>
      <w:r>
        <w:rPr>
          <w:rFonts w:asciiTheme="majorEastAsia" w:eastAsiaTheme="majorEastAsia" w:hAnsiTheme="majorEastAsia" w:hint="eastAsia"/>
          <w:szCs w:val="21"/>
        </w:rPr>
        <w:t xml:space="preserve">关于投标保证金 </w:t>
      </w:r>
    </w:p>
    <w:p>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21.1 根据《</w:t>
      </w:r>
      <w:r>
        <w:rPr>
          <w:rFonts w:asciiTheme="majorEastAsia" w:eastAsiaTheme="majorEastAsia" w:hAnsiTheme="majorEastAsia"/>
          <w:szCs w:val="21"/>
        </w:rPr>
        <w:t>深圳市财政局关于明确政府采购保证金管理工作的通知</w:t>
      </w:r>
      <w:r>
        <w:rPr>
          <w:rFonts w:asciiTheme="majorEastAsia" w:eastAsiaTheme="majorEastAsia" w:hAnsiTheme="majorEastAsia" w:hint="eastAsia"/>
          <w:szCs w:val="21"/>
        </w:rPr>
        <w:t>》（深财购[</w:t>
      </w:r>
      <w:r>
        <w:rPr>
          <w:rFonts w:asciiTheme="majorEastAsia" w:eastAsiaTheme="majorEastAsia" w:hAnsiTheme="majorEastAsia"/>
          <w:szCs w:val="21"/>
        </w:rPr>
        <w:t>2019]42</w:t>
      </w:r>
      <w:r>
        <w:rPr>
          <w:rFonts w:asciiTheme="majorEastAsia" w:eastAsiaTheme="majorEastAsia" w:hAnsiTheme="majorEastAsia" w:hint="eastAsia"/>
          <w:szCs w:val="21"/>
        </w:rPr>
        <w:t>号）文的规定，本项目不收取投标保证金。</w:t>
      </w:r>
    </w:p>
    <w:p>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22．投标人的替代方案</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pPr>
        <w:spacing w:line="360" w:lineRule="auto"/>
        <w:rPr>
          <w:rFonts w:asciiTheme="majorEastAsia" w:eastAsiaTheme="majorEastAsia" w:hAnsiTheme="majorEastAsia"/>
          <w:b/>
          <w:bCs/>
          <w:szCs w:val="21"/>
        </w:rPr>
      </w:pPr>
      <w:bookmarkEnd w:id="41"/>
      <w:r>
        <w:rPr>
          <w:rFonts w:asciiTheme="majorEastAsia" w:eastAsiaTheme="majorEastAsia" w:hAnsiTheme="majorEastAsia" w:hint="eastAsia"/>
          <w:b/>
          <w:bCs/>
          <w:szCs w:val="21"/>
        </w:rPr>
        <w:t>23．</w:t>
      </w:r>
      <w:bookmarkStart w:id="42" w:name="_Hlk72402860"/>
      <w:r>
        <w:rPr>
          <w:rFonts w:asciiTheme="majorEastAsia" w:eastAsiaTheme="majorEastAsia" w:hAnsiTheme="majorEastAsia"/>
          <w:b/>
          <w:bCs/>
          <w:szCs w:val="21"/>
        </w:rPr>
        <w:t>投标文件的</w:t>
      </w:r>
      <w:r>
        <w:rPr>
          <w:rFonts w:asciiTheme="majorEastAsia" w:eastAsiaTheme="majorEastAsia" w:hAnsiTheme="majorEastAsia" w:hint="eastAsia"/>
          <w:b/>
          <w:bCs/>
          <w:szCs w:val="21"/>
        </w:rPr>
        <w:t>制作</w:t>
      </w:r>
      <w:r>
        <w:rPr>
          <w:rFonts w:asciiTheme="majorEastAsia" w:eastAsiaTheme="majorEastAsia" w:hAnsiTheme="majorEastAsia"/>
          <w:b/>
          <w:bCs/>
          <w:szCs w:val="21"/>
        </w:rPr>
        <w:t>要求</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23.1投标人应准备所投项目的电子投标文件一份。此电子投标文件须由投标人根据采购代理机构提供的后缀名为.szczf的电子招标文件，下载并使用相应的深圳智慧采购平台投标文件制作专用软件打开招标文件（.szczf格式）【下载地址：</w:t>
      </w:r>
      <w:r>
        <w:rPr>
          <w:rFonts w:asciiTheme="majorEastAsia" w:eastAsiaTheme="majorEastAsia" w:hAnsiTheme="majorEastAsia"/>
          <w:szCs w:val="21"/>
        </w:rPr>
        <w:t>http://zfcg.szggzy.com/</w:t>
      </w:r>
      <w:r>
        <w:rPr>
          <w:rFonts w:asciiTheme="majorEastAsia" w:eastAsiaTheme="majorEastAsia" w:hAnsiTheme="majorEastAsia" w:hint="eastAsia"/>
          <w:szCs w:val="21"/>
        </w:rPr>
        <w:t>TPBidder/DownLoad/深圳市智慧采购平台投标文件制作专用软件.zip】。</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23.2投标人在使用《投标文件制作软件》编制投标书时须注意：</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23.2.1导入《投标文件制作软件》的招标文件项目编号、包号应与以此制作的投标文件项目编号、包号一致。例如，不能将甲项目A包的招标书导入《投标文件制作软件》，制作乙项目B包的投标书。</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23.2.2不能用非本公司的电子密钥加密本公司的投标文件，或者用其它公司的登录用户上传本公司的投标文件。</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23.2.3要求用《投标文件制作软件》编制投标书的包，不能用其它方式编制投标书。编制投标文件时，电脑须连通互联网。</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23.2.4投标文件不能带病毒。采购代理机构将用专业杀毒软件对投标文件进行病毒检测，如果这两种软件均报告发现病毒，则采购代理机构认为该投标文件带病毒。</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23.2.5完整填写“投标关键信息”，如下图所示：</w:t>
      </w:r>
    </w:p>
    <w:p>
      <w:pPr>
        <w:tabs>
          <w:tab w:val="left" w:pos="0"/>
        </w:tabs>
        <w:spacing w:line="360" w:lineRule="auto"/>
        <w:rPr>
          <w:rFonts w:asciiTheme="majorEastAsia" w:eastAsiaTheme="majorEastAsia" w:hAnsiTheme="majorEastAsia"/>
          <w:szCs w:val="21"/>
        </w:rPr>
      </w:pPr>
      <w:r>
        <w:rPr>
          <w:rFonts w:asciiTheme="majorEastAsia" w:eastAsiaTheme="majorEastAsia" w:hAnsiTheme="majorEastAsia"/>
          <w:szCs w:val="21"/>
        </w:rPr>
        <w:drawing>
          <wp:inline distT="0" distB="0" distL="0" distR="0">
            <wp:extent cx="5278755" cy="2721610"/>
            <wp:effectExtent l="0" t="0" r="0" b="2540"/>
            <wp:docPr id="8"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图形用户界面, 应用程序&#10;&#10;描述已自动生成"/>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spacing w:line="360" w:lineRule="auto"/>
        <w:ind w:firstLine="412" w:firstLineChars="196"/>
        <w:rPr>
          <w:rFonts w:asciiTheme="majorEastAsia" w:eastAsiaTheme="majorEastAsia" w:hAnsiTheme="majorEastAsia"/>
          <w:b/>
          <w:szCs w:val="21"/>
        </w:rPr>
      </w:pPr>
      <w:r>
        <w:rPr>
          <w:rFonts w:asciiTheme="majorEastAsia" w:eastAsiaTheme="majorEastAsia" w:hAnsiTheme="majorEastAsia" w:hint="eastAsia"/>
          <w:b/>
          <w:szCs w:val="21"/>
        </w:rPr>
        <w:t>备注：上述“开标一览表”中的“投标总价”将作为价格分计算依据；其它信息仅是对投标文件相关内容的概括性表述，不作为评审依据。</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23.2.6投标人在编辑投标文件时，</w:t>
      </w:r>
      <w:r>
        <w:rPr>
          <w:rFonts w:asciiTheme="majorEastAsia" w:eastAsiaTheme="majorEastAsia" w:hAnsiTheme="majorEastAsia" w:hint="eastAsia"/>
          <w:b/>
          <w:szCs w:val="21"/>
        </w:rPr>
        <w:t>在投标文件目录中属于本节点内容的必须在本节点中填写，填写到其他节点或附件，</w:t>
      </w:r>
      <w:r>
        <w:rPr>
          <w:rFonts w:asciiTheme="majorEastAsia" w:eastAsiaTheme="majorEastAsia" w:hAnsiTheme="majorEastAsia" w:hint="eastAsia"/>
          <w:szCs w:val="21"/>
        </w:rPr>
        <w:t>一切后果由供应商自行承担。</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23.2.7投标文件编写完成后，</w:t>
      </w:r>
      <w:r>
        <w:rPr>
          <w:rFonts w:asciiTheme="majorEastAsia" w:eastAsiaTheme="majorEastAsia" w:hAnsiTheme="majorEastAsia" w:hint="eastAsia"/>
          <w:b/>
          <w:szCs w:val="21"/>
        </w:rPr>
        <w:t>必须用属于投标人的电子密钥进行加密，否则视同未盖公章，将导致投标文件无效。</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23.2.8采购代理机构不接受投标截止时间后递交的纸质、电子、传真等所有形式的投标文件。由于对网上政府采购系统操作不熟悉或自身电脑、网络等原因导致不能在投标截止时间之前上传投标文件，采购代理机构概不负责。建议于开标前一个工作日完成投标文件的制作与上传，如上传确有困难，请及时咨询。</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23.2.9如果开标时出现网络故障、技术故障，影响了政府采购活动，采购代理机构有权采取措施如延期、接受无法从网上上传的投标书等，以保障政府采购活动的公开、公平和公正。</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23.3电报、电话、传真形式的投标概不接受。</w:t>
      </w:r>
    </w:p>
    <w:p>
      <w:pPr>
        <w:spacing w:line="360" w:lineRule="auto"/>
        <w:ind w:firstLine="412" w:firstLineChars="196"/>
        <w:rPr>
          <w:rFonts w:asciiTheme="majorEastAsia" w:eastAsiaTheme="majorEastAsia" w:hAnsiTheme="majorEastAsia"/>
          <w:b/>
          <w:szCs w:val="21"/>
        </w:rPr>
      </w:pPr>
      <w:r>
        <w:rPr>
          <w:rFonts w:asciiTheme="majorEastAsia" w:eastAsiaTheme="majorEastAsia" w:hAnsiTheme="majorEastAsia" w:hint="eastAsia"/>
          <w:b/>
          <w:szCs w:val="21"/>
        </w:rPr>
        <w:t>23.4经投标人电子密钥加密的投标文件无须盖章或签字，</w:t>
      </w:r>
      <w:r>
        <w:rPr>
          <w:rFonts w:asciiTheme="majorEastAsia" w:eastAsiaTheme="majorEastAsia" w:hAnsiTheme="majorEastAsia" w:hint="eastAsia"/>
          <w:szCs w:val="21"/>
        </w:rPr>
        <w:t>专用条款另有要求的除外。</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b/>
          <w:szCs w:val="21"/>
        </w:rPr>
        <w:t>23.5</w:t>
      </w:r>
      <w:r>
        <w:rPr>
          <w:rFonts w:asciiTheme="majorEastAsia" w:eastAsiaTheme="majorEastAsia" w:hAnsiTheme="majorEastAsia" w:hint="eastAsia"/>
          <w:szCs w:val="21"/>
        </w:rPr>
        <w:t xml:space="preserve"> 各类资格（资质）文件提供扫描件，专用条款另有要求的除外。</w:t>
      </w:r>
      <w:bookmarkEnd w:id="42"/>
    </w:p>
    <w:p>
      <w:pPr>
        <w:keepNext/>
        <w:keepLines/>
        <w:widowControl/>
        <w:numPr>
          <w:ilvl w:val="0"/>
          <w:numId w:val="2"/>
        </w:numPr>
        <w:adjustRightInd w:val="0"/>
        <w:spacing w:before="156" w:beforeLines="50" w:after="156" w:afterLines="50" w:line="360" w:lineRule="auto"/>
        <w:ind w:left="562" w:hanging="562"/>
        <w:jc w:val="center"/>
        <w:textAlignment w:val="baseline"/>
        <w:outlineLvl w:val="1"/>
        <w:rPr>
          <w:rFonts w:asciiTheme="majorEastAsia" w:eastAsiaTheme="majorEastAsia" w:hAnsiTheme="majorEastAsia"/>
          <w:b/>
          <w:bCs/>
          <w:kern w:val="0"/>
          <w:sz w:val="28"/>
          <w:szCs w:val="28"/>
        </w:rPr>
      </w:pPr>
      <w:r>
        <w:rPr>
          <w:rFonts w:asciiTheme="majorEastAsia" w:eastAsiaTheme="majorEastAsia" w:hAnsiTheme="majorEastAsia" w:hint="eastAsia"/>
          <w:b/>
          <w:bCs/>
          <w:kern w:val="0"/>
          <w:sz w:val="28"/>
          <w:szCs w:val="28"/>
        </w:rPr>
        <w:t>投标文件的递交</w:t>
      </w:r>
      <w:bookmarkStart w:id="43" w:name="_Hlk72405459"/>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24．投标书的保密</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24.1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p>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drawing>
          <wp:inline distT="0" distB="0" distL="0" distR="0">
            <wp:extent cx="5278755" cy="2721610"/>
            <wp:effectExtent l="0" t="0" r="0" b="2540"/>
            <wp:docPr id="9"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图形用户界面, 应用程序&#10;&#10;描述已自动生成"/>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在投标文件制作软件点击【生成标书】按钮进入【填写开标一览表界面】界面，在该界面填写完开标一览表信息后点击【确定】，进入投标文件生成环节。</w:t>
      </w:r>
      <w:r>
        <w:rPr>
          <w:rFonts w:asciiTheme="majorEastAsia" w:eastAsiaTheme="majorEastAsia" w:hAnsiTheme="majorEastAsia"/>
          <w:szCs w:val="21"/>
        </w:rPr>
        <w:drawing>
          <wp:inline distT="0" distB="0" distL="0" distR="0">
            <wp:extent cx="5278755" cy="2732405"/>
            <wp:effectExtent l="0" t="0" r="0" b="0"/>
            <wp:docPr id="12" name="图片 8"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图形用户界面&#10;&#10;描述已自动生成"/>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投标文件制作软件会在投标文件生成过程中，提示用户输入密码，输入密码后对标文件自动进行加密。</w:t>
      </w:r>
    </w:p>
    <w:p>
      <w:pPr>
        <w:spacing w:line="360" w:lineRule="auto"/>
        <w:ind w:firstLine="420" w:firstLineChars="200"/>
        <w:rPr>
          <w:rFonts w:asciiTheme="majorEastAsia" w:eastAsiaTheme="majorEastAsia" w:hAnsiTheme="majorEastAsia"/>
          <w:b/>
          <w:szCs w:val="21"/>
        </w:rPr>
      </w:pPr>
      <w:r>
        <w:rPr>
          <w:rFonts w:asciiTheme="majorEastAsia" w:eastAsiaTheme="majorEastAsia" w:hAnsiTheme="majorEastAsia" w:hint="eastAsia"/>
          <w:b/>
          <w:szCs w:val="21"/>
        </w:rPr>
        <w:t>24.2若采购项目出现延期情况：</w:t>
      </w:r>
    </w:p>
    <w:p>
      <w:pPr>
        <w:spacing w:line="360" w:lineRule="auto"/>
        <w:ind w:firstLine="420" w:firstLineChars="200"/>
        <w:rPr>
          <w:rFonts w:asciiTheme="majorEastAsia" w:eastAsiaTheme="majorEastAsia" w:hAnsiTheme="majorEastAsia"/>
          <w:b/>
          <w:szCs w:val="21"/>
        </w:rPr>
      </w:pPr>
      <w:r>
        <w:rPr>
          <w:rFonts w:asciiTheme="majorEastAsia" w:eastAsiaTheme="majorEastAsia" w:hAnsiTheme="majorEastAsia" w:hint="eastAsia"/>
          <w:b/>
          <w:szCs w:val="21"/>
        </w:rPr>
        <w:t>如果供下载的招标文件（后缀名为.</w:t>
      </w:r>
      <w:r>
        <w:rPr>
          <w:rFonts w:asciiTheme="majorEastAsia" w:eastAsiaTheme="majorEastAsia" w:hAnsiTheme="majorEastAsia"/>
          <w:b/>
          <w:szCs w:val="21"/>
        </w:rPr>
        <w:t>szczf</w:t>
      </w:r>
      <w:r>
        <w:rPr>
          <w:rFonts w:asciiTheme="majorEastAsia" w:eastAsiaTheme="majorEastAsia" w:hAnsiTheme="majorEastAsia" w:hint="eastAsia"/>
          <w:b/>
          <w:szCs w:val="21"/>
        </w:rPr>
        <w:t>）有更新，投标人必须重新下载招标文件、重新制作投标文件、重新加密投标文件、重新上传投标文件；如果供下载的招标文件（后缀名为.</w:t>
      </w:r>
      <w:r>
        <w:rPr>
          <w:rFonts w:asciiTheme="majorEastAsia" w:eastAsiaTheme="majorEastAsia" w:hAnsiTheme="majorEastAsia"/>
          <w:b/>
          <w:szCs w:val="21"/>
        </w:rPr>
        <w:t>szczf</w:t>
      </w:r>
      <w:r>
        <w:rPr>
          <w:rFonts w:asciiTheme="majorEastAsia" w:eastAsiaTheme="majorEastAsia" w:hAnsiTheme="majorEastAsia" w:hint="eastAsia"/>
          <w:b/>
          <w:szCs w:val="21"/>
        </w:rPr>
        <w:t>）没有更新，投标人必须重新加密投标文件、重新上传投标文件（是否重新制作投标文件根据项目实际情况定）。否则，投标人自行承担投标文件无法解密导致投标无效的后果。</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25．上传投标文件及投标截止日期</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25</w:t>
      </w:r>
      <w:r>
        <w:rPr>
          <w:rFonts w:asciiTheme="majorEastAsia" w:eastAsiaTheme="majorEastAsia" w:hAnsiTheme="majorEastAsia"/>
          <w:szCs w:val="21"/>
        </w:rPr>
        <w:t>.</w:t>
      </w:r>
      <w:r>
        <w:rPr>
          <w:rFonts w:asciiTheme="majorEastAsia" w:eastAsiaTheme="majorEastAsia" w:hAnsiTheme="majorEastAsia" w:hint="eastAsia"/>
          <w:szCs w:val="21"/>
        </w:rPr>
        <w:t>1实行网上投标，</w:t>
      </w:r>
      <w:r>
        <w:rPr>
          <w:rFonts w:asciiTheme="majorEastAsia" w:eastAsiaTheme="majorEastAsia" w:hAnsiTheme="majorEastAsia"/>
          <w:szCs w:val="21"/>
        </w:rPr>
        <w:t>投标人必须</w:t>
      </w:r>
      <w:r>
        <w:rPr>
          <w:rFonts w:asciiTheme="majorEastAsia" w:eastAsiaTheme="majorEastAsia" w:hAnsiTheme="majorEastAsia" w:hint="eastAsia"/>
          <w:szCs w:val="21"/>
        </w:rPr>
        <w:t>在招标</w:t>
      </w:r>
      <w:r>
        <w:rPr>
          <w:rFonts w:asciiTheme="majorEastAsia" w:eastAsiaTheme="majorEastAsia" w:hAnsiTheme="majorEastAsia"/>
          <w:szCs w:val="21"/>
        </w:rPr>
        <w:t>文件规定的投标截止时间前</w:t>
      </w:r>
      <w:r>
        <w:rPr>
          <w:rFonts w:asciiTheme="majorEastAsia" w:eastAsiaTheme="majorEastAsia" w:hAnsiTheme="majorEastAsia" w:hint="eastAsia"/>
          <w:szCs w:val="21"/>
        </w:rPr>
        <w:t>用电子密钥登录“深圳政府采购智慧平台用户网上办事子系统（http://zfcg.szggzy.com/TPBidder/memberLogin）”，用“【我的项目】→【项目流程】→【递交投标(应答)文件】”功能点上传投标文件。</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25.2采购代理机构可以按本通用条款第13条规定，通过修改招标文件自行决定酌情延长投标截止期。在此情况下，采购代理机构、采购人和投标人受投标截止期制约的所有权利和义务均应延长至新的截止期。</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25</w:t>
      </w:r>
      <w:r>
        <w:rPr>
          <w:rFonts w:asciiTheme="majorEastAsia" w:eastAsiaTheme="majorEastAsia" w:hAnsiTheme="majorEastAsia"/>
          <w:szCs w:val="21"/>
        </w:rPr>
        <w:t>.</w:t>
      </w:r>
      <w:r>
        <w:rPr>
          <w:rFonts w:asciiTheme="majorEastAsia" w:eastAsiaTheme="majorEastAsia" w:hAnsiTheme="majorEastAsia" w:hint="eastAsia"/>
          <w:szCs w:val="21"/>
        </w:rPr>
        <w:t>3投标截止时间以后不得上传投标文件。</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25.4.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p>
      <w:pPr>
        <w:spacing w:line="360" w:lineRule="auto"/>
        <w:rPr>
          <w:rFonts w:asciiTheme="majorEastAsia" w:eastAsiaTheme="majorEastAsia" w:hAnsiTheme="majorEastAsia"/>
          <w:b/>
          <w:bCs/>
          <w:szCs w:val="21"/>
        </w:rPr>
      </w:pPr>
      <w:bookmarkEnd w:id="43"/>
      <w:r>
        <w:rPr>
          <w:rFonts w:asciiTheme="majorEastAsia" w:eastAsiaTheme="majorEastAsia" w:hAnsiTheme="majorEastAsia" w:hint="eastAsia"/>
          <w:b/>
          <w:bCs/>
          <w:szCs w:val="21"/>
        </w:rPr>
        <w:t>26. 样品、现场演示、方案讲解</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26.1 样品、现场演示、方案讲解等事项在招标文件专用条款中进行规定。</w:t>
      </w:r>
    </w:p>
    <w:p>
      <w:pPr>
        <w:spacing w:line="360" w:lineRule="auto"/>
        <w:rPr>
          <w:rFonts w:asciiTheme="majorEastAsia" w:eastAsiaTheme="majorEastAsia" w:hAnsiTheme="majorEastAsia"/>
          <w:b/>
          <w:bCs/>
          <w:szCs w:val="21"/>
        </w:rPr>
      </w:pPr>
      <w:bookmarkStart w:id="44" w:name="_Hlk72428346"/>
      <w:r>
        <w:rPr>
          <w:rFonts w:asciiTheme="majorEastAsia" w:eastAsiaTheme="majorEastAsia" w:hAnsiTheme="majorEastAsia"/>
          <w:b/>
          <w:bCs/>
          <w:szCs w:val="21"/>
        </w:rPr>
        <w:t>2</w:t>
      </w:r>
      <w:r>
        <w:rPr>
          <w:rFonts w:asciiTheme="majorEastAsia" w:eastAsiaTheme="majorEastAsia" w:hAnsiTheme="majorEastAsia" w:hint="eastAsia"/>
          <w:b/>
          <w:bCs/>
          <w:szCs w:val="21"/>
        </w:rPr>
        <w:t>7．</w:t>
      </w:r>
      <w:r>
        <w:rPr>
          <w:rFonts w:asciiTheme="majorEastAsia" w:eastAsiaTheme="majorEastAsia" w:hAnsiTheme="majorEastAsia"/>
          <w:b/>
          <w:bCs/>
          <w:szCs w:val="21"/>
        </w:rPr>
        <w:t>投标文件的修改和撤销</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7</w:t>
      </w:r>
      <w:r>
        <w:rPr>
          <w:rFonts w:asciiTheme="majorEastAsia" w:eastAsiaTheme="majorEastAsia" w:hAnsiTheme="majorEastAsia"/>
          <w:szCs w:val="21"/>
        </w:rPr>
        <w:t>.</w:t>
      </w:r>
      <w:r>
        <w:rPr>
          <w:rFonts w:asciiTheme="majorEastAsia" w:eastAsiaTheme="majorEastAsia" w:hAnsiTheme="majorEastAsia" w:hint="eastAsia"/>
          <w:szCs w:val="21"/>
        </w:rPr>
        <w:t>1</w:t>
      </w:r>
      <w:r>
        <w:rPr>
          <w:rFonts w:asciiTheme="majorEastAsia" w:eastAsiaTheme="majorEastAsia" w:hAnsiTheme="majorEastAsia"/>
          <w:szCs w:val="21"/>
        </w:rPr>
        <w:t>投标方在提交投标文件后可对其投标文件进行修改</w:t>
      </w:r>
      <w:r>
        <w:rPr>
          <w:rFonts w:asciiTheme="majorEastAsia" w:eastAsiaTheme="majorEastAsia" w:hAnsiTheme="majorEastAsia" w:hint="eastAsia"/>
          <w:szCs w:val="21"/>
        </w:rPr>
        <w:t>并重新上传投标文件</w:t>
      </w:r>
      <w:r>
        <w:rPr>
          <w:rFonts w:asciiTheme="majorEastAsia" w:eastAsiaTheme="majorEastAsia" w:hAnsiTheme="majorEastAsia"/>
          <w:szCs w:val="21"/>
        </w:rPr>
        <w:t>或</w:t>
      </w:r>
      <w:r>
        <w:rPr>
          <w:rFonts w:asciiTheme="majorEastAsia" w:eastAsiaTheme="majorEastAsia" w:hAnsiTheme="majorEastAsia" w:hint="eastAsia"/>
          <w:szCs w:val="21"/>
        </w:rPr>
        <w:t>在网上进行</w:t>
      </w:r>
      <w:r>
        <w:rPr>
          <w:rFonts w:asciiTheme="majorEastAsia" w:eastAsiaTheme="majorEastAsia" w:hAnsiTheme="majorEastAsia"/>
          <w:szCs w:val="21"/>
        </w:rPr>
        <w:t>撤销</w:t>
      </w:r>
      <w:r>
        <w:rPr>
          <w:rFonts w:asciiTheme="majorEastAsia" w:eastAsiaTheme="majorEastAsia" w:hAnsiTheme="majorEastAsia" w:hint="eastAsia"/>
          <w:szCs w:val="21"/>
        </w:rPr>
        <w:t>投标的操作</w:t>
      </w:r>
      <w:r>
        <w:rPr>
          <w:rFonts w:asciiTheme="majorEastAsia" w:eastAsiaTheme="majorEastAsia" w:hAnsiTheme="majorEastAsia"/>
          <w:szCs w:val="21"/>
        </w:rPr>
        <w:t>。</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7</w:t>
      </w:r>
      <w:r>
        <w:rPr>
          <w:rFonts w:asciiTheme="majorEastAsia" w:eastAsiaTheme="majorEastAsia" w:hAnsiTheme="majorEastAsia"/>
          <w:szCs w:val="21"/>
        </w:rPr>
        <w:t>.</w:t>
      </w:r>
      <w:r>
        <w:rPr>
          <w:rFonts w:asciiTheme="majorEastAsia" w:eastAsiaTheme="majorEastAsia" w:hAnsiTheme="majorEastAsia" w:hint="eastAsia"/>
          <w:szCs w:val="21"/>
        </w:rPr>
        <w:t>2</w:t>
      </w:r>
      <w:r>
        <w:rPr>
          <w:rFonts w:asciiTheme="majorEastAsia" w:eastAsiaTheme="majorEastAsia" w:hAnsiTheme="majorEastAsia"/>
          <w:szCs w:val="21"/>
        </w:rPr>
        <w:t>投标截止时间以后不得修改投标文件。</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7</w:t>
      </w:r>
      <w:r>
        <w:rPr>
          <w:rFonts w:asciiTheme="majorEastAsia" w:eastAsiaTheme="majorEastAsia" w:hAnsiTheme="majorEastAsia"/>
          <w:szCs w:val="21"/>
        </w:rPr>
        <w:t>.</w:t>
      </w:r>
      <w:r>
        <w:rPr>
          <w:rFonts w:asciiTheme="majorEastAsia" w:eastAsiaTheme="majorEastAsia" w:hAnsiTheme="majorEastAsia" w:hint="eastAsia"/>
          <w:szCs w:val="21"/>
        </w:rPr>
        <w:t>3从投标截止期至投标人在投标文件中确定的投标有效期之间的这段时间内，投标人不得撤回其投标。</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27.4采购代理机构不退还投标文件，专用条款另有规定的除外。</w:t>
      </w:r>
    </w:p>
    <w:p>
      <w:pPr>
        <w:keepNext/>
        <w:keepLines/>
        <w:widowControl/>
        <w:numPr>
          <w:ilvl w:val="0"/>
          <w:numId w:val="2"/>
        </w:numPr>
        <w:adjustRightInd w:val="0"/>
        <w:spacing w:before="156" w:beforeLines="50" w:after="156" w:afterLines="50" w:line="360" w:lineRule="auto"/>
        <w:ind w:left="562" w:hanging="562"/>
        <w:jc w:val="center"/>
        <w:textAlignment w:val="baseline"/>
        <w:outlineLvl w:val="1"/>
        <w:rPr>
          <w:rFonts w:asciiTheme="majorEastAsia" w:eastAsiaTheme="majorEastAsia" w:hAnsiTheme="majorEastAsia"/>
          <w:b/>
          <w:bCs/>
          <w:kern w:val="0"/>
          <w:sz w:val="28"/>
          <w:szCs w:val="28"/>
        </w:rPr>
      </w:pPr>
      <w:bookmarkEnd w:id="44"/>
      <w:r>
        <w:rPr>
          <w:rFonts w:asciiTheme="majorEastAsia" w:eastAsiaTheme="majorEastAsia" w:hAnsiTheme="majorEastAsia" w:hint="eastAsia"/>
          <w:b/>
          <w:bCs/>
          <w:kern w:val="0"/>
          <w:sz w:val="28"/>
          <w:szCs w:val="28"/>
        </w:rPr>
        <w:t>开标</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28．开标</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8</w:t>
      </w:r>
      <w:r>
        <w:rPr>
          <w:rFonts w:asciiTheme="majorEastAsia" w:eastAsiaTheme="majorEastAsia" w:hAnsiTheme="majorEastAsia"/>
          <w:szCs w:val="21"/>
        </w:rPr>
        <w:t>.</w:t>
      </w:r>
      <w:r>
        <w:rPr>
          <w:rFonts w:asciiTheme="majorEastAsia" w:eastAsiaTheme="majorEastAsia" w:hAnsiTheme="majorEastAsia" w:hint="eastAsia"/>
          <w:szCs w:val="21"/>
        </w:rPr>
        <w:t>1投标人须在开标当日的开标时间至解密截止时间内进行解密，逾期未解密的作无效处理。解密方法：登录“深圳政府采购智慧平台用户网上办事子系统（</w:t>
      </w:r>
      <w:r>
        <w:rPr>
          <w:rFonts w:asciiTheme="majorEastAsia" w:eastAsiaTheme="majorEastAsia" w:hAnsiTheme="majorEastAsia"/>
          <w:szCs w:val="21"/>
        </w:rPr>
        <w:t>http://zfcg.szggzy.com/</w:t>
      </w:r>
      <w:r>
        <w:rPr>
          <w:rFonts w:asciiTheme="majorEastAsia" w:eastAsiaTheme="majorEastAsia" w:hAnsiTheme="majorEastAsia" w:hint="eastAsia"/>
          <w:szCs w:val="21"/>
        </w:rPr>
        <w:t>TPBidder/memberLogin）”，使用本单位制作电子投标文件同一个电子密钥，在“【我的项目】→【项目流程】→【开标及解密】”进行在线解密、查询开标情况。</w:t>
      </w:r>
    </w:p>
    <w:p>
      <w:pPr>
        <w:spacing w:line="360" w:lineRule="auto"/>
        <w:ind w:firstLine="359" w:firstLineChars="171"/>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 xml:space="preserve">8.2 </w:t>
      </w:r>
      <w:r>
        <w:rPr>
          <w:rFonts w:asciiTheme="majorEastAsia" w:eastAsiaTheme="majorEastAsia" w:hAnsiTheme="majorEastAsia" w:hint="eastAsia"/>
          <w:szCs w:val="21"/>
        </w:rPr>
        <w:t>采购代理机构将在满足开标条件（</w:t>
      </w:r>
      <w:r>
        <w:rPr>
          <w:rFonts w:asciiTheme="majorEastAsia" w:eastAsiaTheme="majorEastAsia" w:hAnsiTheme="majorEastAsia" w:cs="宋体" w:hint="eastAsia"/>
          <w:color w:val="333333"/>
          <w:szCs w:val="21"/>
          <w:shd w:val="clear" w:color="auto" w:fill="FFFFFF"/>
        </w:rPr>
        <w:t>①</w:t>
      </w:r>
      <w:r>
        <w:rPr>
          <w:rFonts w:asciiTheme="majorEastAsia" w:eastAsiaTheme="majorEastAsia" w:hAnsiTheme="majorEastAsia" w:hint="eastAsia"/>
          <w:szCs w:val="21"/>
        </w:rPr>
        <w:t>解密时间结束，解密后的投标供应商数量满足开标要求或</w:t>
      </w:r>
      <w:r>
        <w:rPr>
          <w:rFonts w:asciiTheme="majorEastAsia" w:eastAsiaTheme="majorEastAsia" w:hAnsiTheme="majorEastAsia" w:cs="宋体" w:hint="eastAsia"/>
          <w:color w:val="333333"/>
          <w:szCs w:val="21"/>
          <w:shd w:val="clear" w:color="auto" w:fill="FFFFFF"/>
        </w:rPr>
        <w:t>②</w:t>
      </w:r>
      <w:r>
        <w:rPr>
          <w:rFonts w:asciiTheme="majorEastAsia" w:eastAsiaTheme="majorEastAsia" w:hAnsiTheme="majorEastAsia" w:hint="eastAsia"/>
          <w:szCs w:val="21"/>
        </w:rPr>
        <w:t>解密时间结束前所有投标供应商均完成投标文件解密）后，对投标文件进行开标，并在网上公布开标结果。</w:t>
      </w:r>
    </w:p>
    <w:p>
      <w:pPr>
        <w:keepNext/>
        <w:keepLines/>
        <w:widowControl/>
        <w:numPr>
          <w:ilvl w:val="0"/>
          <w:numId w:val="2"/>
        </w:numPr>
        <w:adjustRightInd w:val="0"/>
        <w:spacing w:before="156" w:beforeLines="50" w:after="156" w:afterLines="50" w:line="360" w:lineRule="auto"/>
        <w:ind w:left="562" w:hanging="562"/>
        <w:jc w:val="center"/>
        <w:textAlignment w:val="baseline"/>
        <w:outlineLvl w:val="1"/>
        <w:rPr>
          <w:rFonts w:asciiTheme="majorEastAsia" w:eastAsiaTheme="majorEastAsia" w:hAnsiTheme="majorEastAsia"/>
          <w:b/>
          <w:bCs/>
          <w:kern w:val="0"/>
          <w:sz w:val="28"/>
          <w:szCs w:val="28"/>
        </w:rPr>
      </w:pPr>
      <w:r>
        <w:rPr>
          <w:rFonts w:asciiTheme="majorEastAsia" w:eastAsiaTheme="majorEastAsia" w:hAnsiTheme="majorEastAsia" w:hint="eastAsia"/>
          <w:b/>
          <w:bCs/>
          <w:kern w:val="0"/>
          <w:sz w:val="28"/>
          <w:szCs w:val="28"/>
        </w:rPr>
        <w:t>评审要求</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29．评审委员会组成</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29.1网上开标结束后召开评审会议，评审委员会由采购代理机构依法组建，负责评审活动。</w:t>
      </w:r>
    </w:p>
    <w:p>
      <w:pPr>
        <w:spacing w:line="360" w:lineRule="auto"/>
        <w:ind w:firstLine="412" w:firstLineChars="196"/>
        <w:rPr>
          <w:rFonts w:asciiTheme="majorEastAsia" w:eastAsiaTheme="majorEastAsia" w:hAnsiTheme="majorEastAsia"/>
          <w:szCs w:val="21"/>
        </w:rPr>
      </w:pPr>
      <w:bookmarkStart w:id="45" w:name="_Hlk72436580"/>
      <w:r>
        <w:rPr>
          <w:rFonts w:asciiTheme="majorEastAsia" w:eastAsiaTheme="majorEastAsia" w:hAnsiTheme="majorEastAsia" w:hint="eastAsia"/>
          <w:szCs w:val="21"/>
        </w:rPr>
        <w:t>评审委员会由采购人代表和评审专家组成，成员人数应当为5人以上单数（部分条件下为7人以上单数），其中评审专家不得少于成员总数的三分之二。</w:t>
      </w:r>
      <w:bookmarkEnd w:id="45"/>
      <w:r>
        <w:rPr>
          <w:rFonts w:asciiTheme="majorEastAsia" w:eastAsiaTheme="majorEastAsia" w:hAnsiTheme="majorEastAsia" w:hint="eastAsia"/>
          <w:szCs w:val="21"/>
        </w:rPr>
        <w:t>评定分离项目</w:t>
      </w:r>
      <w:r>
        <w:rPr>
          <w:rFonts w:asciiTheme="majorEastAsia" w:eastAsiaTheme="majorEastAsia" w:hAnsiTheme="majorEastAsia"/>
          <w:szCs w:val="21"/>
        </w:rPr>
        <w:t>评审专家</w:t>
      </w:r>
      <w:r>
        <w:rPr>
          <w:rFonts w:asciiTheme="majorEastAsia" w:eastAsiaTheme="majorEastAsia" w:hAnsiTheme="majorEastAsia" w:hint="eastAsia"/>
          <w:szCs w:val="21"/>
        </w:rPr>
        <w:t>均</w:t>
      </w:r>
      <w:r>
        <w:rPr>
          <w:rFonts w:asciiTheme="majorEastAsia" w:eastAsiaTheme="majorEastAsia" w:hAnsiTheme="majorEastAsia"/>
          <w:szCs w:val="21"/>
        </w:rPr>
        <w:t>由</w:t>
      </w:r>
      <w:r>
        <w:rPr>
          <w:rFonts w:asciiTheme="majorEastAsia" w:eastAsiaTheme="majorEastAsia" w:hAnsiTheme="majorEastAsia" w:hint="eastAsia"/>
          <w:szCs w:val="21"/>
        </w:rPr>
        <w:t>评审专家组成。评审专家一般是从深圳市政府采购评审专家库中随机抽取。采购人代表须持本单位签发的《评审授权书》参加评审。</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29.2评审定标应当遵循公平、公正、科学、择优的原则。</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29.3评审活动依法进行，任何单位和个人不得非法干预评标过程和结果。</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29.4评审过程中不允许违背评标程序或采用招标文件未载明的评标方法或评标因素进行评标。</w:t>
      </w:r>
    </w:p>
    <w:p>
      <w:pPr>
        <w:spacing w:line="360" w:lineRule="auto"/>
        <w:ind w:firstLine="412" w:firstLineChars="196"/>
        <w:rPr>
          <w:rFonts w:asciiTheme="majorEastAsia" w:eastAsiaTheme="majorEastAsia" w:hAnsiTheme="majorEastAsia"/>
          <w:bCs/>
          <w:szCs w:val="21"/>
        </w:rPr>
      </w:pPr>
      <w:r>
        <w:rPr>
          <w:rFonts w:asciiTheme="majorEastAsia" w:eastAsiaTheme="majorEastAsia" w:hAnsiTheme="majorEastAsia" w:hint="eastAsia"/>
          <w:bCs/>
          <w:szCs w:val="21"/>
        </w:rPr>
        <w:t>29.5 开标后，直到签订合同为止，凡属于对投标文件的审查、澄清、评价和比较的有关资料以及中标候选人的推荐情况、与评审有关的其他任何情况均严格保密（</w:t>
      </w:r>
      <w:r>
        <w:rPr>
          <w:rFonts w:asciiTheme="majorEastAsia" w:eastAsiaTheme="majorEastAsia" w:hAnsiTheme="majorEastAsia" w:hint="eastAsia"/>
          <w:szCs w:val="21"/>
        </w:rPr>
        <w:t>信息公开的内容除外</w:t>
      </w:r>
      <w:r>
        <w:rPr>
          <w:rFonts w:asciiTheme="majorEastAsia" w:eastAsiaTheme="majorEastAsia" w:hAnsiTheme="majorEastAsia" w:hint="eastAsia"/>
          <w:bCs/>
          <w:szCs w:val="21"/>
        </w:rPr>
        <w:t>）。</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30．向评审委员会提供的资料</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30.1公开发布的招标文件，包括图纸、服务清单、答疑文件等；</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30.2其他评标必须的资料。</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30.3评审委员会应当认真研究招标文件，至少应了解熟悉以下内容：</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（1）招标的目的；</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（2）招标项目需求的范围和性质；</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（3）招标文件规定的投标人的资格、财政预算限额、商务条款；</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（4）招标文件规定的评标程序、评标方法和评标因素；</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（5）招标文件所列示的资格性审查表及符合性审查表。</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31．独立评审</w:t>
      </w:r>
    </w:p>
    <w:p>
      <w:pPr>
        <w:spacing w:line="360" w:lineRule="auto"/>
        <w:ind w:firstLine="412" w:firstLineChars="196"/>
        <w:rPr>
          <w:rFonts w:asciiTheme="majorEastAsia" w:eastAsiaTheme="majorEastAsia" w:hAnsiTheme="majorEastAsia"/>
          <w:bCs/>
          <w:szCs w:val="21"/>
        </w:rPr>
      </w:pPr>
      <w:r>
        <w:rPr>
          <w:rFonts w:asciiTheme="majorEastAsia" w:eastAsiaTheme="majorEastAsia" w:hAnsiTheme="majorEastAsia" w:hint="eastAsia"/>
          <w:bCs/>
          <w:szCs w:val="21"/>
        </w:rPr>
        <w:t>3</w:t>
      </w:r>
      <w:r>
        <w:rPr>
          <w:rFonts w:asciiTheme="majorEastAsia" w:eastAsiaTheme="majorEastAsia" w:hAnsiTheme="majorEastAsia"/>
          <w:bCs/>
          <w:szCs w:val="21"/>
        </w:rPr>
        <w:t>1</w:t>
      </w:r>
      <w:r>
        <w:rPr>
          <w:rFonts w:asciiTheme="majorEastAsia" w:eastAsiaTheme="majorEastAsia" w:hAnsiTheme="majorEastAsia" w:hint="eastAsia"/>
          <w:bCs/>
          <w:szCs w:val="21"/>
        </w:rPr>
        <w:t>.1</w:t>
      </w:r>
      <w:r>
        <w:rPr>
          <w:rFonts w:asciiTheme="majorEastAsia" w:eastAsiaTheme="majorEastAsia" w:hAnsiTheme="majorEastAsia" w:hint="eastAsia"/>
          <w:szCs w:val="21"/>
        </w:rPr>
        <w:t>评审委员会</w:t>
      </w:r>
      <w:r>
        <w:rPr>
          <w:rFonts w:asciiTheme="majorEastAsia" w:eastAsiaTheme="majorEastAsia" w:hAnsiTheme="majorEastAsia" w:hint="eastAsia"/>
          <w:bCs/>
          <w:szCs w:val="21"/>
        </w:rPr>
        <w:t>成员的评标活动应当独立进行，并应遵循投标文件初审、澄清有关问题、比较与评价、确定中标供应商、编写评审报告的工作程序。</w:t>
      </w:r>
    </w:p>
    <w:p>
      <w:pPr>
        <w:keepNext/>
        <w:keepLines/>
        <w:widowControl/>
        <w:numPr>
          <w:ilvl w:val="0"/>
          <w:numId w:val="2"/>
        </w:numPr>
        <w:adjustRightInd w:val="0"/>
        <w:spacing w:before="156" w:beforeLines="50" w:after="156" w:afterLines="50" w:line="360" w:lineRule="auto"/>
        <w:ind w:left="562" w:hanging="562"/>
        <w:jc w:val="center"/>
        <w:textAlignment w:val="baseline"/>
        <w:outlineLvl w:val="1"/>
        <w:rPr>
          <w:rFonts w:asciiTheme="majorEastAsia" w:eastAsiaTheme="majorEastAsia" w:hAnsiTheme="majorEastAsia"/>
          <w:b/>
          <w:bCs/>
          <w:kern w:val="0"/>
          <w:sz w:val="28"/>
          <w:szCs w:val="28"/>
        </w:rPr>
      </w:pPr>
      <w:r>
        <w:rPr>
          <w:rFonts w:asciiTheme="majorEastAsia" w:eastAsiaTheme="majorEastAsia" w:hAnsiTheme="majorEastAsia" w:hint="eastAsia"/>
          <w:b/>
          <w:bCs/>
          <w:kern w:val="0"/>
          <w:sz w:val="28"/>
          <w:szCs w:val="28"/>
        </w:rPr>
        <w:t>评审程序及评审方法</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32．投标文件初审</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32.1投标文件初审包括资格性审查和符合性审查。</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资格性审查：依据法律法规和招标文件的规定，对投标文件中的资格证明等进行审查，以确定投标供应商是否具备投标资格。</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符合性审查：依据招标文件的规定，对投标文件的有效性、完整性和对招标文件的响应程度进行审查，以确定是否满足符合性审查的要求。</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32.2 投标文件初审内容请详见《资格性审查表》和《符合性审查表》部分。投标人若有一条审查不通过则按投标无效处理。</w:t>
      </w:r>
    </w:p>
    <w:p>
      <w:pPr>
        <w:spacing w:line="360" w:lineRule="auto"/>
        <w:ind w:firstLine="412" w:firstLineChars="196"/>
        <w:rPr>
          <w:rFonts w:asciiTheme="majorEastAsia" w:eastAsiaTheme="majorEastAsia" w:hAnsiTheme="majorEastAsia"/>
          <w:bCs/>
          <w:szCs w:val="21"/>
        </w:rPr>
      </w:pPr>
      <w:r>
        <w:rPr>
          <w:rFonts w:asciiTheme="majorEastAsia" w:eastAsiaTheme="majorEastAsia" w:hAnsiTheme="majorEastAsia" w:hint="eastAsia"/>
          <w:bCs/>
          <w:szCs w:val="21"/>
        </w:rPr>
        <w:t>32.3 投标文件初审中关于供应商家数的计算:</w:t>
      </w:r>
    </w:p>
    <w:p>
      <w:pPr>
        <w:spacing w:line="360" w:lineRule="auto"/>
        <w:ind w:firstLine="412" w:firstLineChars="196"/>
        <w:rPr>
          <w:rFonts w:asciiTheme="majorEastAsia" w:eastAsiaTheme="majorEastAsia" w:hAnsiTheme="majorEastAsia"/>
          <w:bCs/>
          <w:szCs w:val="21"/>
        </w:rPr>
      </w:pPr>
      <w:r>
        <w:rPr>
          <w:rFonts w:asciiTheme="majorEastAsia" w:eastAsiaTheme="majorEastAsia" w:hAnsiTheme="majorEastAsia" w:hint="eastAsia"/>
          <w:bCs/>
          <w:szCs w:val="21"/>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spacing w:line="360" w:lineRule="auto"/>
        <w:ind w:firstLine="412" w:firstLineChars="196"/>
        <w:rPr>
          <w:rFonts w:asciiTheme="majorEastAsia" w:eastAsiaTheme="majorEastAsia" w:hAnsiTheme="majorEastAsia"/>
          <w:bCs/>
          <w:szCs w:val="21"/>
        </w:rPr>
      </w:pPr>
      <w:r>
        <w:rPr>
          <w:rFonts w:asciiTheme="majorEastAsia" w:eastAsiaTheme="majorEastAsia" w:hAnsiTheme="majorEastAsia" w:hint="eastAsia"/>
          <w:bCs/>
          <w:szCs w:val="21"/>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pPr>
        <w:spacing w:line="360" w:lineRule="auto"/>
        <w:ind w:firstLine="412" w:firstLineChars="196"/>
        <w:rPr>
          <w:rFonts w:asciiTheme="majorEastAsia" w:eastAsiaTheme="majorEastAsia" w:hAnsiTheme="majorEastAsia"/>
          <w:bCs/>
          <w:szCs w:val="21"/>
        </w:rPr>
      </w:pPr>
      <w:r>
        <w:rPr>
          <w:rFonts w:asciiTheme="majorEastAsia" w:eastAsiaTheme="majorEastAsia" w:hAnsiTheme="majorEastAsia" w:hint="eastAsia"/>
          <w:bCs/>
          <w:szCs w:val="21"/>
        </w:rPr>
        <w:t>32.3.3非单一产品采购项目，采购人应当根据采购项目技术构成、产品价格比重等合理确定核心产品，并在招标文件中载明。多家投标人提供的核心产品品牌相同的，按前两款规定处理。</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32.4投标人投标文件作无效处理的情形，具体包括但不限于以下：</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32.4.1不同投标人的投标文件由同一单位或者同一个人编制，或者由同一个人分阶段参与编制；</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32.4.</w:t>
      </w:r>
      <w:r>
        <w:rPr>
          <w:rFonts w:asciiTheme="majorEastAsia" w:eastAsiaTheme="majorEastAsia" w:hAnsiTheme="majorEastAsia" w:hint="eastAsia"/>
          <w:szCs w:val="21"/>
        </w:rPr>
        <w:t>2不同投标人委托同一单位或者个人办理投标事宜；</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32.4.3不同投标人的投标文件载明的项目管理成员或者联系人员为同一人；</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32.4.4不同投标人的投标文件异常一致或者投标报价呈规律性差异；</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32.4.5</w:t>
      </w:r>
      <w:r>
        <w:rPr>
          <w:rFonts w:asciiTheme="majorEastAsia" w:eastAsiaTheme="majorEastAsia" w:hAnsiTheme="majorEastAsia"/>
          <w:szCs w:val="21"/>
        </w:rPr>
        <w:t>不同投标供应商的投标文件或部分投标文件相互混装</w:t>
      </w:r>
      <w:r>
        <w:rPr>
          <w:rFonts w:asciiTheme="majorEastAsia" w:eastAsiaTheme="majorEastAsia" w:hAnsiTheme="majorEastAsia" w:hint="eastAsia"/>
          <w:szCs w:val="21"/>
        </w:rPr>
        <w:t>；</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32.4.6投标供应商之间相互约定给予未中标的供应商利益补偿；</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32.4.7不同投标供应商的法定代表人、主要经营负责人、项目投标授权代表人、项目负责人、主要技术人员为同一人、属同一单位或者同一单位缴纳社会保险；</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32.4.8不同投标供应商的投标文件内容存在非正常一致；</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32.4.9在同一单位工作人员为两家以上（含两家）供应商进行同一项投标活动；</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32.4.10主管部门依照法律、法规认定的其他情形。</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32.5对不属于《资格性审查表》和《符合性审查表》所列的其他情形，除专用条款另有规定和32.4条款所列情形外，不得作为投标无效的理由。</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33．澄清有关问题</w:t>
      </w:r>
    </w:p>
    <w:p>
      <w:pPr>
        <w:spacing w:line="360" w:lineRule="auto"/>
        <w:ind w:firstLine="412" w:firstLineChars="196"/>
        <w:rPr>
          <w:rFonts w:asciiTheme="majorEastAsia" w:eastAsiaTheme="majorEastAsia" w:hAnsiTheme="majorEastAsia"/>
          <w:szCs w:val="21"/>
        </w:rPr>
      </w:pPr>
      <w:bookmarkStart w:id="46" w:name="_Hlk71407321"/>
      <w:r>
        <w:rPr>
          <w:rFonts w:asciiTheme="majorEastAsia" w:eastAsiaTheme="majorEastAsia" w:hAnsiTheme="majorEastAsia" w:hint="eastAsia"/>
          <w:szCs w:val="21"/>
        </w:rPr>
        <w:t>3</w:t>
      </w:r>
      <w:r>
        <w:rPr>
          <w:rFonts w:asciiTheme="majorEastAsia" w:eastAsiaTheme="majorEastAsia" w:hAnsiTheme="majorEastAsia"/>
          <w:szCs w:val="21"/>
        </w:rPr>
        <w:t>3.1</w:t>
      </w:r>
      <w:r>
        <w:rPr>
          <w:rFonts w:asciiTheme="majorEastAsia" w:eastAsiaTheme="majorEastAsia" w:hAnsiTheme="majorEastAsia" w:hint="eastAsia"/>
          <w:szCs w:val="21"/>
        </w:rPr>
        <w:t>对招标文件中描述有歧义或前后不一致的地方（不含</w:t>
      </w:r>
      <w:r>
        <w:rPr>
          <w:rFonts w:asciiTheme="majorEastAsia" w:eastAsiaTheme="majorEastAsia" w:hAnsiTheme="majorEastAsia"/>
          <w:szCs w:val="21"/>
        </w:rPr>
        <w:t>招标文件存在歧义、重大缺陷导致评</w:t>
      </w:r>
      <w:r>
        <w:rPr>
          <w:rFonts w:asciiTheme="majorEastAsia" w:eastAsiaTheme="majorEastAsia" w:hAnsiTheme="majorEastAsia" w:hint="eastAsia"/>
          <w:szCs w:val="21"/>
        </w:rPr>
        <w:t>审</w:t>
      </w:r>
      <w:r>
        <w:rPr>
          <w:rFonts w:asciiTheme="majorEastAsia" w:eastAsiaTheme="majorEastAsia" w:hAnsiTheme="majorEastAsia"/>
          <w:szCs w:val="21"/>
        </w:rPr>
        <w:t>工作无法进行</w:t>
      </w:r>
      <w:r>
        <w:rPr>
          <w:rFonts w:asciiTheme="majorEastAsia" w:eastAsiaTheme="majorEastAsia" w:hAnsiTheme="majorEastAsia" w:hint="eastAsia"/>
          <w:szCs w:val="21"/>
        </w:rPr>
        <w:t>的情况），评审委员会有权进行评判，但对同一条款的评判应适用于每个投标人。</w:t>
      </w:r>
      <w:bookmarkEnd w:id="46"/>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3.2评</w:t>
      </w:r>
      <w:r>
        <w:rPr>
          <w:rFonts w:asciiTheme="majorEastAsia" w:eastAsiaTheme="majorEastAsia" w:hAnsiTheme="majorEastAsia" w:hint="eastAsia"/>
          <w:szCs w:val="21"/>
        </w:rPr>
        <w:t>审</w:t>
      </w:r>
      <w:r>
        <w:rPr>
          <w:rFonts w:asciiTheme="majorEastAsia" w:eastAsiaTheme="majorEastAsia" w:hAnsiTheme="majorEastAsia"/>
          <w:szCs w:val="21"/>
        </w:rPr>
        <w:t>委员会发现招标文件存在歧义、重大缺陷导致评</w:t>
      </w:r>
      <w:r>
        <w:rPr>
          <w:rFonts w:asciiTheme="majorEastAsia" w:eastAsiaTheme="majorEastAsia" w:hAnsiTheme="majorEastAsia" w:hint="eastAsia"/>
          <w:szCs w:val="21"/>
        </w:rPr>
        <w:t>审</w:t>
      </w:r>
      <w:r>
        <w:rPr>
          <w:rFonts w:asciiTheme="majorEastAsia" w:eastAsiaTheme="majorEastAsia" w:hAnsiTheme="majorEastAsia"/>
          <w:szCs w:val="21"/>
        </w:rPr>
        <w:t>工作无法进行，或者招标文件内容违反国家有关强制性规定的，应当停止评</w:t>
      </w:r>
      <w:r>
        <w:rPr>
          <w:rFonts w:asciiTheme="majorEastAsia" w:eastAsiaTheme="majorEastAsia" w:hAnsiTheme="majorEastAsia" w:hint="eastAsia"/>
          <w:szCs w:val="21"/>
        </w:rPr>
        <w:t>审</w:t>
      </w:r>
      <w:r>
        <w:rPr>
          <w:rFonts w:asciiTheme="majorEastAsia" w:eastAsiaTheme="majorEastAsia" w:hAnsiTheme="majorEastAsia"/>
          <w:szCs w:val="21"/>
        </w:rPr>
        <w:t>工作，与</w:t>
      </w:r>
      <w:r>
        <w:rPr>
          <w:rFonts w:asciiTheme="majorEastAsia" w:eastAsiaTheme="majorEastAsia" w:hAnsiTheme="majorEastAsia" w:hint="eastAsia"/>
          <w:szCs w:val="21"/>
        </w:rPr>
        <w:t>采购代理机构</w:t>
      </w:r>
      <w:r>
        <w:rPr>
          <w:rFonts w:asciiTheme="majorEastAsia" w:eastAsiaTheme="majorEastAsia" w:hAnsiTheme="majorEastAsia"/>
          <w:szCs w:val="21"/>
        </w:rPr>
        <w:t>沟通并作书面记录。</w:t>
      </w:r>
      <w:r>
        <w:rPr>
          <w:rFonts w:asciiTheme="majorEastAsia" w:eastAsiaTheme="majorEastAsia" w:hAnsiTheme="majorEastAsia" w:hint="eastAsia"/>
          <w:szCs w:val="21"/>
        </w:rPr>
        <w:t>经</w:t>
      </w:r>
      <w:r>
        <w:rPr>
          <w:rFonts w:asciiTheme="majorEastAsia" w:eastAsiaTheme="majorEastAsia" w:hAnsiTheme="majorEastAsia"/>
          <w:szCs w:val="21"/>
        </w:rPr>
        <w:t>确认后，</w:t>
      </w:r>
      <w:r>
        <w:rPr>
          <w:rFonts w:asciiTheme="majorEastAsia" w:eastAsiaTheme="majorEastAsia" w:hAnsiTheme="majorEastAsia" w:hint="eastAsia"/>
          <w:szCs w:val="21"/>
        </w:rPr>
        <w:t>项目</w:t>
      </w:r>
      <w:r>
        <w:rPr>
          <w:rFonts w:asciiTheme="majorEastAsia" w:eastAsiaTheme="majorEastAsia" w:hAnsiTheme="majorEastAsia"/>
          <w:szCs w:val="21"/>
        </w:rPr>
        <w:t>应当修改招标文件，重新组织采购活动。</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33.3</w:t>
      </w:r>
      <w:r>
        <w:rPr>
          <w:rFonts w:asciiTheme="majorEastAsia" w:eastAsiaTheme="majorEastAsia" w:hAnsiTheme="majorEastAsia" w:hint="eastAsia"/>
          <w:szCs w:val="21"/>
        </w:rPr>
        <w:t>对于投标文件中含义不明确、同类问题表述不一致或者有明显文字和计算错误的内容，评审委员会应当以书面形式要求投标人作出必要的澄清、说明或者补正。</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根据本通用条款第34条，凡属于评审委员会在评审中发现的算术错误进行核实的修改不在此列。</w:t>
      </w:r>
    </w:p>
    <w:p>
      <w:pPr>
        <w:spacing w:line="360" w:lineRule="auto"/>
        <w:rPr>
          <w:rFonts w:asciiTheme="majorEastAsia" w:eastAsiaTheme="majorEastAsia" w:hAnsiTheme="majorEastAsia"/>
          <w:b/>
          <w:bCs/>
          <w:szCs w:val="21"/>
        </w:rPr>
      </w:pPr>
      <w:bookmarkStart w:id="47" w:name="_Toc73518151"/>
      <w:bookmarkStart w:id="48" w:name="_Toc73521669"/>
      <w:bookmarkStart w:id="49" w:name="_Toc73517673"/>
      <w:bookmarkStart w:id="50" w:name="_Toc100052400"/>
      <w:bookmarkStart w:id="51" w:name="_Toc73521581"/>
      <w:r>
        <w:rPr>
          <w:rFonts w:asciiTheme="majorEastAsia" w:eastAsiaTheme="majorEastAsia" w:hAnsiTheme="majorEastAsia" w:hint="eastAsia"/>
          <w:b/>
          <w:bCs/>
          <w:szCs w:val="21"/>
        </w:rPr>
        <w:t>34．错误的修正</w:t>
      </w:r>
      <w:bookmarkEnd w:id="47"/>
      <w:bookmarkEnd w:id="48"/>
      <w:bookmarkEnd w:id="49"/>
      <w:bookmarkEnd w:id="50"/>
      <w:bookmarkEnd w:id="51"/>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投标文件报价出现前后不一致的，除专用条款另有规定外，按照下列规定修正：</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34.1投标文件中开标一览表投标报价内容与投标文件中投标报价相应内容不一致的，以开标一览表为准；</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34.2大写金额和小写金额不一致的，以大写金额为准；</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34.3单价金额小数点或者百分比有明显错位，以开标一览表的总价为准，并修改单价；</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34.4总价金额与按单价汇总金额不一致的，以单价金额计算结果为准。</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34.5同时出现两种以上不一致的，按照前款规定的顺序修正。修正后的报价按照本通用条款33条的规定，经投标人确认后产生约束力，投标人不确认的，其投标无效。</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35．投标文件的比较与评价</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评审委员会成员对需要共同认定的事项存在争议的，应当按照少数服从多数的原则作出结论。持不同意见的评审委员会成员应当书面作出说明，否则视为无异议。</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36. 实地考察或资料查验</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36.1在评审过程中，评审委员会有权决定是否对本项目投标人进行实地考察或资料查验（原件）。投标人应随时做好接受实地考察或资料查验的准备。</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37．评审方法</w:t>
      </w:r>
    </w:p>
    <w:p>
      <w:pPr>
        <w:spacing w:line="360" w:lineRule="auto"/>
        <w:ind w:firstLine="412" w:firstLineChars="196"/>
        <w:rPr>
          <w:rFonts w:asciiTheme="majorEastAsia" w:eastAsiaTheme="majorEastAsia" w:hAnsiTheme="majorEastAsia"/>
          <w:b/>
          <w:bCs/>
          <w:szCs w:val="21"/>
        </w:rPr>
      </w:pPr>
      <w:r>
        <w:rPr>
          <w:rFonts w:asciiTheme="majorEastAsia" w:eastAsiaTheme="majorEastAsia" w:hAnsiTheme="majorEastAsia" w:hint="eastAsia"/>
          <w:b/>
          <w:bCs/>
          <w:szCs w:val="21"/>
        </w:rPr>
        <w:t>37.1.1最低价法</w:t>
      </w:r>
    </w:p>
    <w:p>
      <w:pPr>
        <w:spacing w:line="360" w:lineRule="auto"/>
        <w:ind w:firstLine="412" w:firstLineChars="196"/>
        <w:rPr>
          <w:rFonts w:asciiTheme="majorEastAsia" w:eastAsiaTheme="majorEastAsia" w:hAnsiTheme="majorEastAsia"/>
          <w:szCs w:val="21"/>
        </w:rPr>
      </w:pPr>
      <w:bookmarkStart w:id="52" w:name="_Hlk72438142"/>
      <w:r>
        <w:rPr>
          <w:rFonts w:asciiTheme="majorEastAsia" w:eastAsiaTheme="majorEastAsia" w:hAnsiTheme="majorEastAsia"/>
          <w:szCs w:val="21"/>
        </w:rPr>
        <w:t>最低价法，是指</w:t>
      </w:r>
      <w:r>
        <w:rPr>
          <w:rFonts w:asciiTheme="majorEastAsia" w:eastAsiaTheme="majorEastAsia" w:hAnsiTheme="majorEastAsia" w:hint="eastAsia"/>
          <w:szCs w:val="21"/>
        </w:rPr>
        <w:t>完全</w:t>
      </w:r>
      <w:r>
        <w:rPr>
          <w:rFonts w:asciiTheme="majorEastAsia" w:eastAsiaTheme="majorEastAsia" w:hAnsiTheme="majorEastAsia"/>
          <w:szCs w:val="21"/>
        </w:rPr>
        <w:t>满足招标文件实质性要求，</w:t>
      </w:r>
      <w:r>
        <w:rPr>
          <w:rFonts w:asciiTheme="majorEastAsia" w:eastAsiaTheme="majorEastAsia" w:hAnsiTheme="majorEastAsia" w:hint="eastAsia"/>
          <w:szCs w:val="21"/>
        </w:rPr>
        <w:t>按照报价由低到高的顺序，依据招标文件中规定的数量或者比例推荐候选中标供应商。</w:t>
      </w:r>
    </w:p>
    <w:p>
      <w:pPr>
        <w:spacing w:line="360" w:lineRule="auto"/>
        <w:ind w:firstLine="412" w:firstLineChars="196"/>
        <w:rPr>
          <w:rFonts w:asciiTheme="majorEastAsia" w:eastAsiaTheme="majorEastAsia" w:hAnsiTheme="majorEastAsia"/>
          <w:b/>
          <w:bCs/>
          <w:szCs w:val="21"/>
        </w:rPr>
      </w:pPr>
      <w:r>
        <w:rPr>
          <w:rFonts w:asciiTheme="majorEastAsia" w:eastAsiaTheme="majorEastAsia" w:hAnsiTheme="majorEastAsia" w:hint="eastAsia"/>
          <w:b/>
          <w:bCs/>
          <w:szCs w:val="21"/>
        </w:rPr>
        <w:t>37.1.2综合评分法</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综合评分法，是指</w:t>
      </w:r>
      <w:r>
        <w:rPr>
          <w:rFonts w:asciiTheme="majorEastAsia" w:eastAsiaTheme="majorEastAsia" w:hAnsiTheme="majorEastAsia" w:hint="eastAsia"/>
          <w:szCs w:val="21"/>
        </w:rPr>
        <w:t>在</w:t>
      </w:r>
      <w:r>
        <w:rPr>
          <w:rFonts w:asciiTheme="majorEastAsia" w:eastAsiaTheme="majorEastAsia" w:hAnsiTheme="majorEastAsia"/>
          <w:szCs w:val="21"/>
        </w:rPr>
        <w:t>满足招标文件全部实质性要求</w:t>
      </w:r>
      <w:r>
        <w:rPr>
          <w:rFonts w:asciiTheme="majorEastAsia" w:eastAsiaTheme="majorEastAsia" w:hAnsiTheme="majorEastAsia" w:hint="eastAsia"/>
          <w:szCs w:val="21"/>
        </w:rPr>
        <w:t>的前提下</w:t>
      </w:r>
      <w:r>
        <w:rPr>
          <w:rFonts w:asciiTheme="majorEastAsia" w:eastAsiaTheme="majorEastAsia" w:hAnsiTheme="majorEastAsia"/>
          <w:szCs w:val="21"/>
        </w:rPr>
        <w:t>，</w:t>
      </w:r>
      <w:r>
        <w:rPr>
          <w:rFonts w:asciiTheme="majorEastAsia" w:eastAsiaTheme="majorEastAsia" w:hAnsiTheme="majorEastAsia" w:hint="eastAsia"/>
          <w:szCs w:val="21"/>
        </w:rPr>
        <w:t>按照招标文件中规定的各项因素进行综合评审，评审总得分排名前列的投标人，作为推荐的候选中标供应商。</w:t>
      </w:r>
      <w:bookmarkEnd w:id="52"/>
    </w:p>
    <w:p>
      <w:pPr>
        <w:spacing w:line="360" w:lineRule="auto"/>
        <w:ind w:firstLine="412" w:firstLineChars="196"/>
        <w:rPr>
          <w:rFonts w:asciiTheme="majorEastAsia" w:eastAsiaTheme="majorEastAsia" w:hAnsiTheme="majorEastAsia"/>
          <w:b/>
          <w:bCs/>
          <w:szCs w:val="21"/>
        </w:rPr>
      </w:pPr>
      <w:r>
        <w:rPr>
          <w:rFonts w:asciiTheme="majorEastAsia" w:eastAsiaTheme="majorEastAsia" w:hAnsiTheme="majorEastAsia" w:hint="eastAsia"/>
          <w:b/>
          <w:bCs/>
          <w:szCs w:val="21"/>
        </w:rPr>
        <w:t>37.2 本项目采用的评审方法见本项目招标文件第一册“专用条款”的相关内容。</w:t>
      </w:r>
    </w:p>
    <w:p>
      <w:pPr>
        <w:spacing w:line="360" w:lineRule="auto"/>
        <w:ind w:firstLine="412" w:firstLineChars="196"/>
        <w:rPr>
          <w:rFonts w:asciiTheme="majorEastAsia" w:eastAsiaTheme="majorEastAsia" w:hAnsiTheme="majorEastAsia"/>
          <w:b/>
          <w:bCs/>
          <w:szCs w:val="21"/>
        </w:rPr>
      </w:pPr>
      <w:r>
        <w:rPr>
          <w:rFonts w:asciiTheme="majorEastAsia" w:eastAsiaTheme="majorEastAsia" w:hAnsiTheme="majorEastAsia" w:hint="eastAsia"/>
          <w:b/>
          <w:bCs/>
          <w:szCs w:val="21"/>
        </w:rPr>
        <w:t>37.3重新评审的情形</w:t>
      </w:r>
    </w:p>
    <w:p>
      <w:pPr>
        <w:spacing w:line="360" w:lineRule="auto"/>
        <w:ind w:firstLine="412" w:firstLineChars="196"/>
        <w:rPr>
          <w:rFonts w:asciiTheme="majorEastAsia" w:eastAsiaTheme="majorEastAsia" w:hAnsiTheme="majorEastAsia"/>
          <w:b/>
          <w:bCs/>
          <w:szCs w:val="21"/>
        </w:rPr>
      </w:pPr>
      <w:r>
        <w:rPr>
          <w:rFonts w:asciiTheme="majorEastAsia" w:eastAsiaTheme="majorEastAsia" w:hAnsiTheme="majorEastAsia" w:cs="宋体" w:hint="eastAsia"/>
          <w:szCs w:val="21"/>
        </w:rPr>
        <w:t>评审结果汇总完成后，除下列情形外，任何人不得修改评审结果：</w:t>
      </w:r>
    </w:p>
    <w:p>
      <w:pPr>
        <w:spacing w:line="360" w:lineRule="auto"/>
        <w:ind w:firstLine="412" w:firstLineChars="196"/>
        <w:rPr>
          <w:rFonts w:asciiTheme="majorEastAsia" w:eastAsiaTheme="majorEastAsia" w:hAnsiTheme="majorEastAsia" w:cs="宋体"/>
          <w:szCs w:val="21"/>
        </w:rPr>
      </w:pPr>
      <w:r>
        <w:rPr>
          <w:rFonts w:asciiTheme="majorEastAsia" w:eastAsiaTheme="majorEastAsia" w:hAnsiTheme="majorEastAsia" w:cs="宋体" w:hint="eastAsia"/>
          <w:szCs w:val="21"/>
        </w:rPr>
        <w:t>37.3.1分值汇总计算错误的；</w:t>
      </w:r>
    </w:p>
    <w:p>
      <w:pPr>
        <w:spacing w:line="360" w:lineRule="auto"/>
        <w:ind w:firstLine="412" w:firstLineChars="196"/>
        <w:rPr>
          <w:rFonts w:asciiTheme="majorEastAsia" w:eastAsiaTheme="majorEastAsia" w:hAnsiTheme="majorEastAsia" w:cs="宋体"/>
          <w:szCs w:val="21"/>
        </w:rPr>
      </w:pPr>
      <w:r>
        <w:rPr>
          <w:rFonts w:asciiTheme="majorEastAsia" w:eastAsiaTheme="majorEastAsia" w:hAnsiTheme="majorEastAsia" w:cs="宋体" w:hint="eastAsia"/>
          <w:szCs w:val="21"/>
        </w:rPr>
        <w:t>37.3.2分项评分超出评分标准范围的；</w:t>
      </w:r>
    </w:p>
    <w:p>
      <w:pPr>
        <w:spacing w:line="360" w:lineRule="auto"/>
        <w:ind w:firstLine="412" w:firstLineChars="196"/>
        <w:rPr>
          <w:rFonts w:asciiTheme="majorEastAsia" w:eastAsiaTheme="majorEastAsia" w:hAnsiTheme="majorEastAsia" w:cs="宋体"/>
          <w:szCs w:val="21"/>
        </w:rPr>
      </w:pPr>
      <w:r>
        <w:rPr>
          <w:rFonts w:asciiTheme="majorEastAsia" w:eastAsiaTheme="majorEastAsia" w:hAnsiTheme="majorEastAsia" w:cs="宋体" w:hint="eastAsia"/>
          <w:szCs w:val="21"/>
        </w:rPr>
        <w:t>37.3.3评审委员会成员对客观评审因素评分不一致的；</w:t>
      </w:r>
    </w:p>
    <w:p>
      <w:pPr>
        <w:spacing w:line="360" w:lineRule="auto"/>
        <w:ind w:firstLine="412" w:firstLineChars="196"/>
        <w:rPr>
          <w:rFonts w:asciiTheme="majorEastAsia" w:eastAsiaTheme="majorEastAsia" w:hAnsiTheme="majorEastAsia" w:cs="宋体"/>
          <w:szCs w:val="21"/>
        </w:rPr>
      </w:pPr>
      <w:r>
        <w:rPr>
          <w:rFonts w:asciiTheme="majorEastAsia" w:eastAsiaTheme="majorEastAsia" w:hAnsiTheme="majorEastAsia" w:cs="宋体" w:hint="eastAsia"/>
          <w:szCs w:val="21"/>
        </w:rPr>
        <w:t>37.3.4经评审委员会认定评分畸高、畸低的。</w:t>
      </w:r>
    </w:p>
    <w:p>
      <w:pPr>
        <w:spacing w:line="360" w:lineRule="auto"/>
        <w:ind w:firstLine="412" w:firstLineChars="196"/>
        <w:rPr>
          <w:rFonts w:asciiTheme="majorEastAsia" w:eastAsiaTheme="majorEastAsia" w:hAnsiTheme="majorEastAsia" w:cs="宋体"/>
          <w:szCs w:val="21"/>
        </w:rPr>
      </w:pPr>
      <w:r>
        <w:rPr>
          <w:rFonts w:asciiTheme="majorEastAsia" w:eastAsiaTheme="majorEastAsia" w:hAnsiTheme="majorEastAsia" w:cs="宋体" w:hint="eastAsia"/>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spacing w:line="360" w:lineRule="auto"/>
        <w:ind w:firstLine="412" w:firstLineChars="196"/>
        <w:rPr>
          <w:rFonts w:asciiTheme="majorEastAsia" w:eastAsiaTheme="majorEastAsia" w:hAnsiTheme="majorEastAsia" w:cs="宋体"/>
          <w:szCs w:val="21"/>
        </w:rPr>
      </w:pPr>
      <w:r>
        <w:rPr>
          <w:rFonts w:asciiTheme="majorEastAsia" w:eastAsiaTheme="majorEastAsia" w:hAnsiTheme="majorEastAsia" w:cs="宋体" w:hint="eastAsia"/>
          <w:szCs w:val="21"/>
        </w:rPr>
        <w:t>投标人对本条第一款情形提出质疑的，采购人或者采购代理机构可以组织原评审委员会进行重新评审，重新评审改变评审结果的，应当书面报告本级财政部门。</w:t>
      </w:r>
    </w:p>
    <w:p>
      <w:pPr>
        <w:spacing w:line="360" w:lineRule="auto"/>
        <w:ind w:firstLine="412" w:firstLineChars="196"/>
        <w:rPr>
          <w:rFonts w:asciiTheme="majorEastAsia" w:eastAsiaTheme="majorEastAsia" w:hAnsiTheme="majorEastAsia"/>
          <w:b/>
          <w:bCs/>
          <w:szCs w:val="21"/>
        </w:rPr>
      </w:pPr>
      <w:r>
        <w:rPr>
          <w:rFonts w:asciiTheme="majorEastAsia" w:eastAsiaTheme="majorEastAsia" w:hAnsiTheme="majorEastAsia" w:hint="eastAsia"/>
          <w:b/>
          <w:bCs/>
          <w:szCs w:val="21"/>
        </w:rPr>
        <w:t xml:space="preserve"> 37.4重新组建评审委员会的情形</w:t>
      </w:r>
    </w:p>
    <w:p>
      <w:pPr>
        <w:spacing w:line="360" w:lineRule="auto"/>
        <w:ind w:firstLine="412" w:firstLineChars="196"/>
        <w:rPr>
          <w:rFonts w:asciiTheme="majorEastAsia" w:eastAsiaTheme="majorEastAsia" w:hAnsiTheme="majorEastAsia" w:cs="宋体"/>
          <w:szCs w:val="21"/>
        </w:rPr>
      </w:pPr>
      <w:r>
        <w:rPr>
          <w:rFonts w:asciiTheme="majorEastAsia" w:eastAsiaTheme="majorEastAsia" w:hAnsiTheme="majorEastAsia" w:cs="宋体" w:hint="eastAsia"/>
          <w:szCs w:val="21"/>
        </w:rPr>
        <w:t>评审委员会或者其成员存在下列情形导致评审结果无效的，重新组建评审委员会进行评标，并书面报告本级财政部门：</w:t>
      </w:r>
    </w:p>
    <w:p>
      <w:pPr>
        <w:spacing w:line="360" w:lineRule="auto"/>
        <w:ind w:firstLine="412" w:firstLineChars="196"/>
        <w:rPr>
          <w:rFonts w:asciiTheme="majorEastAsia" w:eastAsiaTheme="majorEastAsia" w:hAnsiTheme="majorEastAsia" w:cs="宋体"/>
          <w:szCs w:val="21"/>
        </w:rPr>
      </w:pPr>
      <w:r>
        <w:rPr>
          <w:rFonts w:asciiTheme="majorEastAsia" w:eastAsiaTheme="majorEastAsia" w:hAnsiTheme="majorEastAsia" w:cs="宋体" w:hint="eastAsia"/>
          <w:szCs w:val="21"/>
        </w:rPr>
        <w:t>37.4.1评审委员会组成不符合《政府采购货物和服务招标投标管理办法》规定的；</w:t>
      </w:r>
    </w:p>
    <w:p>
      <w:pPr>
        <w:spacing w:line="360" w:lineRule="auto"/>
        <w:ind w:firstLine="412" w:firstLineChars="196"/>
        <w:rPr>
          <w:rFonts w:asciiTheme="majorEastAsia" w:eastAsiaTheme="majorEastAsia" w:hAnsiTheme="majorEastAsia" w:cs="宋体"/>
          <w:szCs w:val="21"/>
        </w:rPr>
      </w:pPr>
      <w:r>
        <w:rPr>
          <w:rFonts w:asciiTheme="majorEastAsia" w:eastAsiaTheme="majorEastAsia" w:hAnsiTheme="majorEastAsia" w:cs="宋体" w:hint="eastAsia"/>
          <w:szCs w:val="21"/>
        </w:rPr>
        <w:t>37.4.2有《政府采购货物和服务招标投标管理办法》第六十二条第一至五项情形的；</w:t>
      </w:r>
    </w:p>
    <w:p>
      <w:pPr>
        <w:spacing w:line="360" w:lineRule="auto"/>
        <w:ind w:firstLine="412" w:firstLineChars="196"/>
        <w:rPr>
          <w:rFonts w:asciiTheme="majorEastAsia" w:eastAsiaTheme="majorEastAsia" w:hAnsiTheme="majorEastAsia" w:cs="宋体"/>
          <w:szCs w:val="21"/>
        </w:rPr>
      </w:pPr>
      <w:r>
        <w:rPr>
          <w:rFonts w:asciiTheme="majorEastAsia" w:eastAsiaTheme="majorEastAsia" w:hAnsiTheme="majorEastAsia" w:cs="宋体" w:hint="eastAsia"/>
          <w:szCs w:val="21"/>
        </w:rPr>
        <w:t>37.4.3评审委员会及其成员独立评标受到非法干预的；</w:t>
      </w:r>
    </w:p>
    <w:p>
      <w:pPr>
        <w:spacing w:line="360" w:lineRule="auto"/>
        <w:ind w:firstLine="412" w:firstLineChars="196"/>
        <w:rPr>
          <w:rFonts w:asciiTheme="majorEastAsia" w:eastAsiaTheme="majorEastAsia" w:hAnsiTheme="majorEastAsia" w:cs="宋体"/>
          <w:szCs w:val="21"/>
        </w:rPr>
      </w:pPr>
      <w:r>
        <w:rPr>
          <w:rFonts w:asciiTheme="majorEastAsia" w:eastAsiaTheme="majorEastAsia" w:hAnsiTheme="majorEastAsia" w:cs="宋体" w:hint="eastAsia"/>
          <w:szCs w:val="21"/>
        </w:rPr>
        <w:t>37.4.4有政府采购法实施条例第七十五条规定的违法行为的。</w:t>
      </w:r>
    </w:p>
    <w:p>
      <w:pPr>
        <w:spacing w:line="360" w:lineRule="auto"/>
        <w:ind w:firstLine="412" w:firstLineChars="196"/>
        <w:rPr>
          <w:rFonts w:asciiTheme="majorEastAsia" w:eastAsiaTheme="majorEastAsia" w:hAnsiTheme="majorEastAsia" w:cs="宋体"/>
          <w:szCs w:val="21"/>
        </w:rPr>
      </w:pPr>
      <w:r>
        <w:rPr>
          <w:rFonts w:asciiTheme="majorEastAsia" w:eastAsiaTheme="majorEastAsia" w:hAnsiTheme="majorEastAsia" w:cs="宋体" w:hint="eastAsia"/>
          <w:szCs w:val="21"/>
        </w:rPr>
        <w:t>有违法违规行为的原评审委员会成员不得参加重新组建的评审委员会。</w:t>
      </w:r>
    </w:p>
    <w:p>
      <w:pPr>
        <w:keepNext/>
        <w:keepLines/>
        <w:widowControl/>
        <w:numPr>
          <w:ilvl w:val="0"/>
          <w:numId w:val="2"/>
        </w:numPr>
        <w:adjustRightInd w:val="0"/>
        <w:spacing w:before="156" w:beforeLines="50" w:after="156" w:afterLines="50" w:line="360" w:lineRule="auto"/>
        <w:ind w:left="562" w:hanging="562"/>
        <w:jc w:val="center"/>
        <w:textAlignment w:val="baseline"/>
        <w:outlineLvl w:val="1"/>
        <w:rPr>
          <w:rFonts w:asciiTheme="majorEastAsia" w:eastAsiaTheme="majorEastAsia" w:hAnsiTheme="majorEastAsia"/>
          <w:b/>
          <w:bCs/>
          <w:kern w:val="0"/>
          <w:sz w:val="28"/>
          <w:szCs w:val="28"/>
        </w:rPr>
      </w:pPr>
      <w:r>
        <w:rPr>
          <w:rFonts w:asciiTheme="majorEastAsia" w:eastAsiaTheme="majorEastAsia" w:hAnsiTheme="majorEastAsia" w:hint="eastAsia"/>
          <w:b/>
          <w:bCs/>
          <w:kern w:val="0"/>
          <w:sz w:val="28"/>
          <w:szCs w:val="28"/>
        </w:rPr>
        <w:t>定标及公示</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38．定标方法</w:t>
      </w:r>
    </w:p>
    <w:p>
      <w:pPr>
        <w:spacing w:line="360" w:lineRule="auto"/>
        <w:ind w:firstLine="412" w:firstLineChars="196"/>
        <w:rPr>
          <w:rFonts w:asciiTheme="majorEastAsia" w:eastAsiaTheme="majorEastAsia" w:hAnsiTheme="majorEastAsia"/>
          <w:szCs w:val="21"/>
        </w:rPr>
      </w:pPr>
      <w:bookmarkStart w:id="53" w:name="_Hlk73782795"/>
      <w:r>
        <w:rPr>
          <w:rFonts w:asciiTheme="majorEastAsia" w:eastAsiaTheme="majorEastAsia" w:hAnsiTheme="majorEastAsia" w:hint="eastAsia"/>
          <w:szCs w:val="21"/>
        </w:rPr>
        <w:t>38.1非评定分离项目定标方法</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38</w:t>
      </w:r>
      <w:r>
        <w:rPr>
          <w:rFonts w:asciiTheme="majorEastAsia" w:eastAsiaTheme="majorEastAsia" w:hAnsiTheme="majorEastAsia"/>
          <w:szCs w:val="21"/>
        </w:rPr>
        <w:t>.</w:t>
      </w:r>
      <w:r>
        <w:rPr>
          <w:rFonts w:asciiTheme="majorEastAsia" w:eastAsiaTheme="majorEastAsia" w:hAnsiTheme="majorEastAsia" w:hint="eastAsia"/>
          <w:szCs w:val="21"/>
        </w:rPr>
        <w:t>1.1评审委员会依据本项目招标文件所约定的评审方法进行评审和比较，向采购代理机构提交书面评审报告，并根据评审方法比较评价结果从优到劣进行排序，确定候选中标供应商。</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38</w:t>
      </w:r>
      <w:r>
        <w:rPr>
          <w:rFonts w:asciiTheme="majorEastAsia" w:eastAsiaTheme="majorEastAsia" w:hAnsiTheme="majorEastAsia"/>
          <w:szCs w:val="21"/>
        </w:rPr>
        <w:t>.</w:t>
      </w:r>
      <w:r>
        <w:rPr>
          <w:rFonts w:asciiTheme="majorEastAsia" w:eastAsiaTheme="majorEastAsia" w:hAnsiTheme="majorEastAsia" w:hint="eastAsia"/>
          <w:szCs w:val="21"/>
        </w:rPr>
        <w:t>1.2</w:t>
      </w:r>
      <w:r>
        <w:rPr>
          <w:rFonts w:asciiTheme="majorEastAsia" w:eastAsiaTheme="majorEastAsia" w:hAnsiTheme="majorEastAsia"/>
          <w:szCs w:val="21"/>
        </w:rPr>
        <w:t>采用最低价法的，评</w:t>
      </w:r>
      <w:r>
        <w:rPr>
          <w:rFonts w:asciiTheme="majorEastAsia" w:eastAsiaTheme="majorEastAsia" w:hAnsiTheme="majorEastAsia" w:hint="eastAsia"/>
          <w:szCs w:val="21"/>
        </w:rPr>
        <w:t>审</w:t>
      </w:r>
      <w:r>
        <w:rPr>
          <w:rFonts w:asciiTheme="majorEastAsia" w:eastAsiaTheme="majorEastAsia" w:hAnsiTheme="majorEastAsia"/>
          <w:szCs w:val="21"/>
        </w:rPr>
        <w:t>结果按投标报价由低到高顺序排列。投标报价相同的并列。投标文件满足招标文件全部实质性要求且投标报价最低的</w:t>
      </w:r>
      <w:r>
        <w:rPr>
          <w:rFonts w:asciiTheme="majorEastAsia" w:eastAsiaTheme="majorEastAsia" w:hAnsiTheme="majorEastAsia" w:hint="eastAsia"/>
          <w:szCs w:val="21"/>
        </w:rPr>
        <w:t>投标人为</w:t>
      </w:r>
      <w:bookmarkStart w:id="54" w:name="_Hlk73821177"/>
      <w:r>
        <w:rPr>
          <w:rFonts w:asciiTheme="majorEastAsia" w:eastAsiaTheme="majorEastAsia" w:hAnsiTheme="majorEastAsia" w:hint="eastAsia"/>
          <w:szCs w:val="21"/>
        </w:rPr>
        <w:t>中标供应商</w:t>
      </w:r>
      <w:r>
        <w:rPr>
          <w:rFonts w:asciiTheme="majorEastAsia" w:eastAsiaTheme="majorEastAsia" w:hAnsiTheme="majorEastAsia"/>
          <w:szCs w:val="21"/>
        </w:rPr>
        <w:t>（</w:t>
      </w:r>
      <w:r>
        <w:rPr>
          <w:rFonts w:asciiTheme="majorEastAsia" w:eastAsiaTheme="majorEastAsia" w:hAnsiTheme="majorEastAsia" w:hint="eastAsia"/>
          <w:szCs w:val="21"/>
        </w:rPr>
        <w:t>排名</w:t>
      </w:r>
      <w:r>
        <w:rPr>
          <w:rFonts w:asciiTheme="majorEastAsia" w:eastAsiaTheme="majorEastAsia" w:hAnsiTheme="majorEastAsia"/>
          <w:szCs w:val="21"/>
        </w:rPr>
        <w:t>第二</w:t>
      </w:r>
      <w:r>
        <w:rPr>
          <w:rFonts w:asciiTheme="majorEastAsia" w:eastAsiaTheme="majorEastAsia" w:hAnsiTheme="majorEastAsia" w:hint="eastAsia"/>
          <w:szCs w:val="21"/>
        </w:rPr>
        <w:t>的投标人为第一替补中标候选人、排名</w:t>
      </w:r>
      <w:r>
        <w:rPr>
          <w:rFonts w:asciiTheme="majorEastAsia" w:eastAsiaTheme="majorEastAsia" w:hAnsiTheme="majorEastAsia"/>
          <w:szCs w:val="21"/>
        </w:rPr>
        <w:t>第</w:t>
      </w:r>
      <w:r>
        <w:rPr>
          <w:rFonts w:asciiTheme="majorEastAsia" w:eastAsiaTheme="majorEastAsia" w:hAnsiTheme="majorEastAsia" w:hint="eastAsia"/>
          <w:szCs w:val="21"/>
        </w:rPr>
        <w:t>三的投标人为第二替补中标候选人</w:t>
      </w:r>
      <w:bookmarkEnd w:id="54"/>
      <w:r>
        <w:rPr>
          <w:rFonts w:asciiTheme="majorEastAsia" w:eastAsiaTheme="majorEastAsia" w:hAnsiTheme="majorEastAsia"/>
          <w:szCs w:val="21"/>
        </w:rPr>
        <w:t>）。</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38</w:t>
      </w:r>
      <w:r>
        <w:rPr>
          <w:rFonts w:asciiTheme="majorEastAsia" w:eastAsiaTheme="majorEastAsia" w:hAnsiTheme="majorEastAsia"/>
          <w:szCs w:val="21"/>
        </w:rPr>
        <w:t>.</w:t>
      </w:r>
      <w:r>
        <w:rPr>
          <w:rFonts w:asciiTheme="majorEastAsia" w:eastAsiaTheme="majorEastAsia" w:hAnsiTheme="majorEastAsia" w:hint="eastAsia"/>
          <w:szCs w:val="21"/>
        </w:rPr>
        <w:t>1.3</w:t>
      </w:r>
      <w:r>
        <w:rPr>
          <w:rFonts w:asciiTheme="majorEastAsia" w:eastAsiaTheme="majorEastAsia" w:hAnsiTheme="majorEastAsia"/>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asciiTheme="majorEastAsia" w:eastAsiaTheme="majorEastAsia" w:hAnsiTheme="majorEastAsia" w:hint="eastAsia"/>
          <w:szCs w:val="21"/>
        </w:rPr>
        <w:t>为中标供应商</w:t>
      </w:r>
      <w:r>
        <w:rPr>
          <w:rFonts w:asciiTheme="majorEastAsia" w:eastAsiaTheme="majorEastAsia" w:hAnsiTheme="majorEastAsia"/>
          <w:szCs w:val="21"/>
        </w:rPr>
        <w:t>（</w:t>
      </w:r>
      <w:r>
        <w:rPr>
          <w:rFonts w:asciiTheme="majorEastAsia" w:eastAsiaTheme="majorEastAsia" w:hAnsiTheme="majorEastAsia" w:hint="eastAsia"/>
          <w:szCs w:val="21"/>
        </w:rPr>
        <w:t>中标候选人如不止一名，则推选排名</w:t>
      </w:r>
      <w:r>
        <w:rPr>
          <w:rFonts w:asciiTheme="majorEastAsia" w:eastAsiaTheme="majorEastAsia" w:hAnsiTheme="majorEastAsia"/>
          <w:szCs w:val="21"/>
        </w:rPr>
        <w:t>第二</w:t>
      </w:r>
      <w:r>
        <w:rPr>
          <w:rFonts w:asciiTheme="majorEastAsia" w:eastAsiaTheme="majorEastAsia" w:hAnsiTheme="majorEastAsia" w:hint="eastAsia"/>
          <w:szCs w:val="21"/>
        </w:rPr>
        <w:t>的投标人为第一替补中标候选人、排名</w:t>
      </w:r>
      <w:r>
        <w:rPr>
          <w:rFonts w:asciiTheme="majorEastAsia" w:eastAsiaTheme="majorEastAsia" w:hAnsiTheme="majorEastAsia"/>
          <w:szCs w:val="21"/>
        </w:rPr>
        <w:t>第</w:t>
      </w:r>
      <w:r>
        <w:rPr>
          <w:rFonts w:asciiTheme="majorEastAsia" w:eastAsiaTheme="majorEastAsia" w:hAnsiTheme="majorEastAsia" w:hint="eastAsia"/>
          <w:szCs w:val="21"/>
        </w:rPr>
        <w:t>三的投标人为第二替补中标候选人</w:t>
      </w:r>
      <w:r>
        <w:rPr>
          <w:rFonts w:asciiTheme="majorEastAsia" w:eastAsiaTheme="majorEastAsia" w:hAnsiTheme="majorEastAsia"/>
          <w:szCs w:val="21"/>
        </w:rPr>
        <w:t>）。</w:t>
      </w:r>
      <w:r>
        <w:rPr>
          <w:rFonts w:asciiTheme="majorEastAsia" w:eastAsiaTheme="majorEastAsia" w:hAnsiTheme="majorEastAsia" w:hint="eastAsia"/>
          <w:szCs w:val="21"/>
        </w:rPr>
        <w:t>出现</w:t>
      </w:r>
      <w:r>
        <w:rPr>
          <w:rFonts w:asciiTheme="majorEastAsia" w:eastAsiaTheme="majorEastAsia" w:hAnsiTheme="majorEastAsia"/>
          <w:szCs w:val="21"/>
        </w:rPr>
        <w:t>得分且投标报价相同的并列</w:t>
      </w:r>
      <w:r>
        <w:rPr>
          <w:rFonts w:asciiTheme="majorEastAsia" w:eastAsiaTheme="majorEastAsia" w:hAnsiTheme="majorEastAsia" w:hint="eastAsia"/>
          <w:szCs w:val="21"/>
        </w:rPr>
        <w:t>情况时，采取随机抽取的方式确定，具体操作办法及流程由评审委员会确定。</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38.2评定分离项目定标方法</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 xml:space="preserve">38.2.2 </w:t>
      </w:r>
      <w:bookmarkStart w:id="55" w:name="_Hlk71469733"/>
      <w:r>
        <w:rPr>
          <w:rFonts w:asciiTheme="majorEastAsia" w:eastAsiaTheme="majorEastAsia" w:hAnsiTheme="majorEastAsia"/>
          <w:szCs w:val="21"/>
        </w:rPr>
        <w:t>适用评定分离的政府采购项目，采用综合评分法评</w:t>
      </w:r>
      <w:r>
        <w:rPr>
          <w:rFonts w:asciiTheme="majorEastAsia" w:eastAsiaTheme="majorEastAsia" w:hAnsiTheme="majorEastAsia" w:hint="eastAsia"/>
          <w:szCs w:val="21"/>
        </w:rPr>
        <w:t>审。评审委员会按照评审结果，推荐</w:t>
      </w:r>
      <w:r>
        <w:rPr>
          <w:rFonts w:asciiTheme="majorEastAsia" w:eastAsiaTheme="majorEastAsia" w:hAnsiTheme="majorEastAsia"/>
          <w:szCs w:val="21"/>
        </w:rPr>
        <w:t>三个合格的候选中标供应商。</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38.2.3</w:t>
      </w:r>
      <w:bookmarkStart w:id="56" w:name="_Hlk71469688"/>
      <w:r>
        <w:rPr>
          <w:rFonts w:asciiTheme="majorEastAsia" w:eastAsiaTheme="majorEastAsia" w:hAnsiTheme="majorEastAsia"/>
          <w:szCs w:val="21"/>
        </w:rPr>
        <w:t>适用评定分离的政府采购项目，</w:t>
      </w:r>
      <w:r>
        <w:rPr>
          <w:rFonts w:asciiTheme="majorEastAsia" w:eastAsiaTheme="majorEastAsia" w:hAnsiTheme="majorEastAsia" w:hint="eastAsia"/>
          <w:szCs w:val="21"/>
        </w:rPr>
        <w:t>按照自定法确定中标供应商：自定法是指采购人组织定标委员会，由定标委员会在三家候选中标供应商中确定中标供应商。</w:t>
      </w:r>
      <w:bookmarkEnd w:id="55"/>
      <w:bookmarkEnd w:id="56"/>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38.2.4</w:t>
      </w:r>
      <w:r>
        <w:rPr>
          <w:rFonts w:asciiTheme="majorEastAsia" w:eastAsiaTheme="majorEastAsia" w:hAnsiTheme="majorEastAsia" w:hint="eastAsia"/>
          <w:szCs w:val="21"/>
        </w:rPr>
        <w:t>采购代理机构</w:t>
      </w:r>
      <w:r>
        <w:rPr>
          <w:rFonts w:asciiTheme="majorEastAsia" w:eastAsiaTheme="majorEastAsia" w:hAnsiTheme="majorEastAsia"/>
          <w:szCs w:val="21"/>
        </w:rPr>
        <w:t>应当自评审结束之日起两个工作日内将候选中标供应商名单及其投标文件、评审报告送交采购人</w:t>
      </w:r>
      <w:r>
        <w:rPr>
          <w:rFonts w:asciiTheme="majorEastAsia" w:eastAsiaTheme="majorEastAsia" w:hAnsiTheme="majorEastAsia" w:hint="eastAsia"/>
          <w:szCs w:val="21"/>
        </w:rPr>
        <w:t>。</w:t>
      </w:r>
      <w:r>
        <w:rPr>
          <w:rFonts w:asciiTheme="majorEastAsia" w:eastAsiaTheme="majorEastAsia" w:hAnsiTheme="majorEastAsia"/>
          <w:szCs w:val="21"/>
        </w:rPr>
        <w:t>采购人应当安排专人对定标过程进行书面记录，形成定标报告，作为采购文件的组成部分存档，并及时将定标结果反馈</w:t>
      </w:r>
      <w:r>
        <w:rPr>
          <w:rFonts w:asciiTheme="majorEastAsia" w:eastAsiaTheme="majorEastAsia" w:hAnsiTheme="majorEastAsia" w:hint="eastAsia"/>
          <w:szCs w:val="21"/>
        </w:rPr>
        <w:t>采购代理机构。具体定标程序及相关要求以按照《</w:t>
      </w:r>
      <w:r>
        <w:rPr>
          <w:rFonts w:asciiTheme="majorEastAsia" w:eastAsiaTheme="majorEastAsia" w:hAnsiTheme="majorEastAsia"/>
          <w:szCs w:val="21"/>
        </w:rPr>
        <w:t>深圳市财政局关于印发</w:t>
      </w:r>
      <w:r>
        <w:rPr>
          <w:rFonts w:asciiTheme="majorEastAsia" w:eastAsiaTheme="majorEastAsia" w:hAnsiTheme="majorEastAsia" w:hint="eastAsia"/>
          <w:szCs w:val="21"/>
        </w:rPr>
        <w:t>〈</w:t>
      </w:r>
      <w:r>
        <w:rPr>
          <w:rFonts w:asciiTheme="majorEastAsia" w:eastAsiaTheme="majorEastAsia" w:hAnsiTheme="majorEastAsia"/>
          <w:szCs w:val="21"/>
        </w:rPr>
        <w:t>深圳市政府采购评标定标分离管理办法</w:t>
      </w:r>
      <w:r>
        <w:rPr>
          <w:rFonts w:asciiTheme="majorEastAsia" w:eastAsiaTheme="majorEastAsia" w:hAnsiTheme="majorEastAsia" w:hint="eastAsia"/>
          <w:szCs w:val="21"/>
        </w:rPr>
        <w:t>〉</w:t>
      </w:r>
      <w:r>
        <w:rPr>
          <w:rFonts w:asciiTheme="majorEastAsia" w:eastAsiaTheme="majorEastAsia" w:hAnsiTheme="majorEastAsia"/>
          <w:szCs w:val="21"/>
        </w:rPr>
        <w:t>的通知</w:t>
      </w:r>
      <w:r>
        <w:rPr>
          <w:rFonts w:asciiTheme="majorEastAsia" w:eastAsiaTheme="majorEastAsia" w:hAnsiTheme="majorEastAsia" w:hint="eastAsia"/>
          <w:szCs w:val="21"/>
        </w:rPr>
        <w:t>》（深财规【2</w:t>
      </w:r>
      <w:r>
        <w:rPr>
          <w:rFonts w:asciiTheme="majorEastAsia" w:eastAsiaTheme="majorEastAsia" w:hAnsiTheme="majorEastAsia"/>
          <w:szCs w:val="21"/>
        </w:rPr>
        <w:t>020</w:t>
      </w:r>
      <w:r>
        <w:rPr>
          <w:rFonts w:asciiTheme="majorEastAsia" w:eastAsiaTheme="majorEastAsia" w:hAnsiTheme="majorEastAsia" w:hint="eastAsia"/>
          <w:szCs w:val="21"/>
        </w:rPr>
        <w:t>】1号）执行。</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说明：采购人及投标供应商应按照上述方法提前做好相关准备。</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38.3专用条款另有规定的，按专用条款相关要求定标。</w:t>
      </w:r>
      <w:bookmarkEnd w:id="53"/>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39．编写评审报告</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40．中标公告</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40.1</w:t>
      </w:r>
      <w:bookmarkStart w:id="57" w:name="_Hlk72438709"/>
      <w:r>
        <w:rPr>
          <w:rFonts w:asciiTheme="majorEastAsia" w:eastAsiaTheme="majorEastAsia" w:hAnsiTheme="majorEastAsia" w:hint="eastAsia"/>
          <w:szCs w:val="21"/>
        </w:rPr>
        <w:t>为体现“公开、公平、公正”的原则，评审结束后经采购人确认（确定）评审结果，采购代理机构将在“深圳政府采购智慧平台（http://zfcg.szggzy.com/）”上发布中标结果公告。</w:t>
      </w:r>
      <w:bookmarkEnd w:id="57"/>
      <w:bookmarkStart w:id="58" w:name="_Hlk72438751"/>
      <w:r>
        <w:rPr>
          <w:rFonts w:asciiTheme="majorEastAsia" w:eastAsiaTheme="majorEastAsia" w:hAnsiTheme="majorEastAsia" w:hint="eastAsia"/>
          <w:szCs w:val="21"/>
        </w:rPr>
        <w:t>供应商如对评审结果有异议，</w:t>
      </w:r>
      <w:r>
        <w:rPr>
          <w:rFonts w:asciiTheme="majorEastAsia" w:eastAsiaTheme="majorEastAsia" w:hAnsiTheme="majorEastAsia"/>
          <w:szCs w:val="21"/>
        </w:rPr>
        <w:t>可在发布公示日期起</w:t>
      </w:r>
      <w:r>
        <w:rPr>
          <w:rFonts w:asciiTheme="majorEastAsia" w:eastAsiaTheme="majorEastAsia" w:hAnsiTheme="majorEastAsia" w:hint="eastAsia"/>
          <w:szCs w:val="21"/>
        </w:rPr>
        <w:t>七</w:t>
      </w:r>
      <w:r>
        <w:rPr>
          <w:rFonts w:asciiTheme="majorEastAsia" w:eastAsiaTheme="majorEastAsia" w:hAnsiTheme="majorEastAsia"/>
          <w:szCs w:val="21"/>
        </w:rPr>
        <w:t>个工作日内向</w:t>
      </w:r>
      <w:r>
        <w:rPr>
          <w:rFonts w:asciiTheme="majorEastAsia" w:eastAsiaTheme="majorEastAsia" w:hAnsiTheme="majorEastAsia" w:hint="eastAsia"/>
          <w:szCs w:val="21"/>
        </w:rPr>
        <w:t>采购代理机构</w:t>
      </w:r>
      <w:r>
        <w:rPr>
          <w:rFonts w:asciiTheme="majorEastAsia" w:eastAsiaTheme="majorEastAsia" w:hAnsiTheme="majorEastAsia"/>
          <w:szCs w:val="21"/>
        </w:rPr>
        <w:t>提出。 监督电话：0755-83948143。</w:t>
      </w:r>
      <w:r>
        <w:rPr>
          <w:rFonts w:asciiTheme="majorEastAsia" w:eastAsiaTheme="majorEastAsia" w:hAnsiTheme="majorEastAsia" w:hint="eastAsia"/>
          <w:szCs w:val="21"/>
        </w:rPr>
        <w:t>若在公示期内未提出质疑，则视为认同该评审结果。</w:t>
      </w:r>
    </w:p>
    <w:p>
      <w:pPr>
        <w:spacing w:line="360" w:lineRule="auto"/>
        <w:ind w:firstLine="412" w:firstLineChars="196"/>
        <w:rPr>
          <w:rFonts w:asciiTheme="majorEastAsia" w:eastAsiaTheme="majorEastAsia" w:hAnsiTheme="majorEastAsia"/>
          <w:szCs w:val="21"/>
        </w:rPr>
      </w:pPr>
      <w:bookmarkEnd w:id="58"/>
      <w:r>
        <w:rPr>
          <w:rFonts w:asciiTheme="majorEastAsia" w:eastAsiaTheme="majorEastAsia" w:hAnsiTheme="majorEastAsia" w:hint="eastAsia"/>
          <w:szCs w:val="21"/>
        </w:rPr>
        <w:t>40.2质疑、投诉供应商应保证质疑、投诉内容的真实性和可靠性，并承担相应的法律责任。</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41．中标通知书</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41</w:t>
      </w:r>
      <w:r>
        <w:rPr>
          <w:rFonts w:asciiTheme="majorEastAsia" w:eastAsiaTheme="majorEastAsia" w:hAnsiTheme="majorEastAsia"/>
          <w:szCs w:val="21"/>
        </w:rPr>
        <w:t>.</w:t>
      </w:r>
      <w:r>
        <w:rPr>
          <w:rFonts w:asciiTheme="majorEastAsia" w:eastAsiaTheme="majorEastAsia" w:hAnsiTheme="majorEastAsia" w:hint="eastAsia"/>
          <w:szCs w:val="21"/>
        </w:rPr>
        <w:t>1</w:t>
      </w:r>
      <w:bookmarkStart w:id="59" w:name="_Hlk72438863"/>
      <w:r>
        <w:rPr>
          <w:rFonts w:asciiTheme="majorEastAsia" w:eastAsiaTheme="majorEastAsia" w:hAnsiTheme="majorEastAsia" w:hint="eastAsia"/>
          <w:szCs w:val="21"/>
        </w:rPr>
        <w:t>中标公告公布以后无异常的情况下,采购代理机构将向中标供应商和采购人发出中标通知书。</w:t>
      </w:r>
      <w:bookmarkEnd w:id="59"/>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41</w:t>
      </w:r>
      <w:r>
        <w:rPr>
          <w:rFonts w:asciiTheme="majorEastAsia" w:eastAsiaTheme="majorEastAsia" w:hAnsiTheme="majorEastAsia"/>
          <w:szCs w:val="21"/>
        </w:rPr>
        <w:t>.2</w:t>
      </w:r>
      <w:r>
        <w:rPr>
          <w:rFonts w:asciiTheme="majorEastAsia" w:eastAsiaTheme="majorEastAsia" w:hAnsiTheme="majorEastAsia" w:hint="eastAsia"/>
          <w:szCs w:val="21"/>
        </w:rPr>
        <w:t>中标通知书是合同的重要组成部分。</w:t>
      </w:r>
    </w:p>
    <w:p>
      <w:pPr>
        <w:spacing w:line="360" w:lineRule="auto"/>
        <w:ind w:firstLine="412" w:firstLineChars="196"/>
        <w:rPr>
          <w:rFonts w:asciiTheme="majorEastAsia" w:eastAsiaTheme="majorEastAsia" w:hAnsiTheme="majorEastAsia"/>
          <w:szCs w:val="21"/>
        </w:rPr>
      </w:pPr>
      <w:bookmarkStart w:id="60" w:name="_Hlk71407340"/>
      <w:r>
        <w:rPr>
          <w:rFonts w:asciiTheme="majorEastAsia" w:eastAsiaTheme="majorEastAsia" w:hAnsiTheme="majorEastAsia" w:hint="eastAsia"/>
          <w:szCs w:val="21"/>
        </w:rPr>
        <w:t>41.3因质疑投诉或其它原因导致项目结果变更或采购终止的，采购代理机构有权吊销中标通知书。</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41.4中标服务费</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中标人须在中标公告公示期结束后，向采购代理机构缴纳中标服务费。中标服务费收费标准根据《深圳市财政委员会关于规范深圳市社会采购代理机构的管理有关事项的补充通知（深财购[2018]27号）》文件相关规定，按照差额定率累进法计算。具体收费标准详见下表：</w:t>
      </w:r>
    </w:p>
    <w:tbl>
      <w:tblPr>
        <w:tblStyle w:val="TableNormal"/>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802"/>
        <w:gridCol w:w="2027"/>
        <w:gridCol w:w="2158"/>
        <w:gridCol w:w="2158"/>
      </w:tblGrid>
      <w:tr>
        <w:tblPrEx>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262"/>
          <w:jc w:val="center"/>
        </w:trPr>
        <w:tc>
          <w:tcPr>
            <w:tcW w:w="2802" w:type="dxa"/>
          </w:tcPr>
          <w:p>
            <w:pPr>
              <w:spacing w:line="360" w:lineRule="auto"/>
              <w:ind w:firstLine="1630" w:firstLineChars="776"/>
              <w:rPr>
                <w:rFonts w:asciiTheme="majorEastAsia" w:eastAsiaTheme="majorEastAsia" w:hAnsiTheme="majorEastAsia"/>
                <w:b/>
                <w:szCs w:val="21"/>
              </w:rPr>
            </w:pPr>
            <w:r>
              <w:rPr>
                <w:rFonts w:asciiTheme="majorEastAsia" w:eastAsiaTheme="majorEastAsia" w:hAnsiTheme="majorEastAsia"/>
                <w:szCs w:val="21"/>
              </w:rPr>
              <mc:AlternateContent>
                <mc:Choice Requires="wps">
                  <w:drawing>
                    <wp:anchor distT="0" distB="0" distL="114300" distR="114300" simplePos="0" relativeHeight="251662336" behindDoc="0" locked="0" layoutInCell="0" allowOverlap="1">
                      <wp:simplePos x="0" y="0"/>
                      <wp:positionH relativeFrom="column">
                        <wp:posOffset>-19050</wp:posOffset>
                      </wp:positionH>
                      <wp:positionV relativeFrom="paragraph">
                        <wp:posOffset>436245</wp:posOffset>
                      </wp:positionV>
                      <wp:extent cx="1733550" cy="394335"/>
                      <wp:effectExtent l="1270" t="4445" r="17780" b="20320"/>
                      <wp:wrapNone/>
                      <wp:docPr id="7" name="直接连接符 7"/>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771650" cy="541020"/>
                              </a:xfrm>
                              <a:prstGeom prst="line">
                                <a:avLst/>
                              </a:prstGeom>
                              <a:ln w="9525">
                                <a:solidFill>
                                  <a:srgbClr val="000000"/>
                                </a:solidFill>
                                <a:headEnd/>
                                <a:tailEnd/>
                              </a:ln>
                            </wps:spPr>
                            <wps:bodyPr/>
                          </wps:wsp>
                        </a:graphicData>
                      </a:graphic>
                    </wp:anchor>
                  </w:drawing>
                </mc:Choice>
                <mc:Fallback>
                  <w:pict>
                    <v:line id="_x0000_s1026" o:spid="_x0000_s1026" style="flip:x y;mso-height-relative:page;mso-width-relative:page;position:absolute;z-index:251663360" from="-1.5pt,34.35pt" to="135pt,65.4pt" coordsize="21600,21600" o:allowincell="f" stroked="t">
                      <v:stroke joinstyle="round"/>
                      <o:lock v:ext="edit" aspectratio="f"/>
                    </v:line>
                  </w:pict>
                </mc:Fallback>
              </mc:AlternateContent>
            </w:r>
            <w:r>
              <w:rPr>
                <w:rFonts w:asciiTheme="majorEastAsia" w:eastAsiaTheme="majorEastAsia" w:hAnsiTheme="majorEastAsia"/>
                <w:szCs w:val="21"/>
              </w:rPr>
              <mc:AlternateContent>
                <mc:Choice Requires="wps">
                  <w:drawing>
                    <wp:anchor distT="0" distB="0" distL="114300" distR="114300" simplePos="0" relativeHeight="251660288" behindDoc="0" locked="0" layoutInCell="0" allowOverlap="1">
                      <wp:simplePos x="0" y="0"/>
                      <wp:positionH relativeFrom="column">
                        <wp:posOffset>392430</wp:posOffset>
                      </wp:positionH>
                      <wp:positionV relativeFrom="paragraph">
                        <wp:posOffset>31750</wp:posOffset>
                      </wp:positionV>
                      <wp:extent cx="1322070" cy="798830"/>
                      <wp:effectExtent l="2540" t="3810" r="8890" b="16510"/>
                      <wp:wrapNone/>
                      <wp:docPr id="6" name="直接连接符 6"/>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215390" cy="851535"/>
                              </a:xfrm>
                              <a:prstGeom prst="line">
                                <a:avLst/>
                              </a:prstGeom>
                              <a:ln w="9525">
                                <a:solidFill>
                                  <a:srgbClr val="000000"/>
                                </a:solidFill>
                                <a:headEnd/>
                                <a:tailEnd/>
                              </a:ln>
                            </wps:spPr>
                            <wps:bodyPr/>
                          </wps:wsp>
                        </a:graphicData>
                      </a:graphic>
                    </wp:anchor>
                  </w:drawing>
                </mc:Choice>
                <mc:Fallback>
                  <w:pict>
                    <v:line id="_x0000_s1026" o:spid="_x0000_s1027" style="flip:x y;mso-height-relative:page;mso-width-relative:page;position:absolute;z-index:251661312" from="30.9pt,2.5pt" to="135pt,65.4pt" coordsize="21600,21600" o:allowincell="f" stroked="t">
                      <v:stroke joinstyle="round"/>
                      <o:lock v:ext="edit" aspectratio="f"/>
                    </v:line>
                  </w:pict>
                </mc:Fallback>
              </mc:AlternateContent>
            </w:r>
            <w:r>
              <w:rPr>
                <w:rFonts w:asciiTheme="majorEastAsia" w:eastAsiaTheme="majorEastAsia" w:hAnsiTheme="majorEastAsia"/>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4445" r="0" b="5080"/>
                      <wp:wrapNone/>
                      <wp:docPr id="5" name="直接连接符 5"/>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ln w="9525">
                                <a:solidFill>
                                  <a:srgbClr val="000000"/>
                                </a:solidFill>
                                <a:headEnd/>
                                <a:tailEnd/>
                              </a:ln>
                            </wps:spPr>
                            <wps:bodyPr/>
                          </wps:wsp>
                        </a:graphicData>
                      </a:graphic>
                    </wp:anchor>
                  </w:drawing>
                </mc:Choice>
                <mc:Fallback>
                  <w:pict>
                    <v:line id="_x0000_s1026" o:spid="_x0000_s1028" style="mso-height-relative:page;mso-width-relative:page;position:absolute;z-index:251665408" from="-9pt,-0.5pt" to="-8.95pt,-0.5pt" coordsize="21600,21600" o:allowincell="f" stroked="t">
                      <v:stroke joinstyle="round"/>
                      <o:lock v:ext="edit" aspectratio="f"/>
                    </v:line>
                  </w:pict>
                </mc:Fallback>
              </mc:AlternateContent>
            </w:r>
            <w:r>
              <w:rPr>
                <w:rFonts w:asciiTheme="majorEastAsia" w:eastAsiaTheme="majorEastAsia" w:hAnsiTheme="majorEastAsia" w:hint="eastAsia"/>
                <w:b/>
                <w:szCs w:val="21"/>
              </w:rPr>
              <w:t>服务类型</w:t>
            </w:r>
          </w:p>
          <w:p>
            <w:pPr>
              <w:spacing w:line="360" w:lineRule="auto"/>
              <w:ind w:firstLine="634" w:firstLineChars="302"/>
              <w:rPr>
                <w:rFonts w:asciiTheme="majorEastAsia" w:eastAsiaTheme="majorEastAsia" w:hAnsiTheme="majorEastAsia"/>
                <w:b/>
                <w:szCs w:val="21"/>
              </w:rPr>
            </w:pPr>
            <w:r>
              <w:rPr>
                <w:rFonts w:asciiTheme="majorEastAsia" w:eastAsiaTheme="majorEastAsia" w:hAnsiTheme="majorEastAsia" w:hint="eastAsia"/>
                <w:b/>
                <w:szCs w:val="21"/>
              </w:rPr>
              <w:t>费率　　　　　</w:t>
            </w:r>
          </w:p>
          <w:p>
            <w:pPr>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中标金额（万元）</w:t>
            </w:r>
          </w:p>
        </w:tc>
        <w:tc>
          <w:tcPr>
            <w:tcW w:w="2027" w:type="dxa"/>
            <w:vAlign w:val="center"/>
          </w:tcPr>
          <w:p>
            <w:pPr>
              <w:spacing w:line="360" w:lineRule="auto"/>
              <w:jc w:val="center"/>
              <w:rPr>
                <w:rFonts w:asciiTheme="majorEastAsia" w:eastAsiaTheme="majorEastAsia" w:hAnsiTheme="majorEastAsia"/>
                <w:b/>
                <w:szCs w:val="21"/>
              </w:rPr>
            </w:pPr>
            <w:r>
              <w:rPr>
                <w:rFonts w:asciiTheme="majorEastAsia" w:eastAsiaTheme="majorEastAsia" w:hAnsiTheme="majorEastAsia" w:hint="eastAsia"/>
                <w:b/>
                <w:szCs w:val="21"/>
              </w:rPr>
              <w:t>货物招标</w:t>
            </w:r>
          </w:p>
        </w:tc>
        <w:tc>
          <w:tcPr>
            <w:tcW w:w="2158" w:type="dxa"/>
            <w:vAlign w:val="center"/>
          </w:tcPr>
          <w:p>
            <w:pPr>
              <w:spacing w:line="360" w:lineRule="auto"/>
              <w:jc w:val="center"/>
              <w:rPr>
                <w:rFonts w:asciiTheme="majorEastAsia" w:eastAsiaTheme="majorEastAsia" w:hAnsiTheme="majorEastAsia"/>
                <w:b/>
                <w:szCs w:val="21"/>
              </w:rPr>
            </w:pPr>
            <w:r>
              <w:rPr>
                <w:rFonts w:asciiTheme="majorEastAsia" w:eastAsiaTheme="majorEastAsia" w:hAnsiTheme="majorEastAsia" w:hint="eastAsia"/>
                <w:b/>
                <w:szCs w:val="21"/>
              </w:rPr>
              <w:t>服务招标</w:t>
            </w:r>
          </w:p>
        </w:tc>
        <w:tc>
          <w:tcPr>
            <w:tcW w:w="2158" w:type="dxa"/>
            <w:vAlign w:val="center"/>
          </w:tcPr>
          <w:p>
            <w:pPr>
              <w:spacing w:line="360" w:lineRule="auto"/>
              <w:jc w:val="center"/>
              <w:rPr>
                <w:rFonts w:asciiTheme="majorEastAsia" w:eastAsiaTheme="majorEastAsia" w:hAnsiTheme="majorEastAsia"/>
                <w:b/>
                <w:szCs w:val="21"/>
              </w:rPr>
            </w:pPr>
            <w:r>
              <w:rPr>
                <w:rFonts w:asciiTheme="majorEastAsia" w:eastAsiaTheme="majorEastAsia" w:hAnsiTheme="majorEastAsia" w:hint="eastAsia"/>
                <w:b/>
                <w:szCs w:val="21"/>
              </w:rPr>
              <w:t>工程招标</w:t>
            </w:r>
          </w:p>
        </w:tc>
      </w:tr>
      <w:tr>
        <w:tblPrEx>
          <w:tblW w:w="9145" w:type="dxa"/>
          <w:jc w:val="center"/>
          <w:tblLayout w:type="fixed"/>
          <w:tblCellMar>
            <w:top w:w="0" w:type="dxa"/>
            <w:left w:w="108" w:type="dxa"/>
            <w:bottom w:w="0" w:type="dxa"/>
            <w:right w:w="108" w:type="dxa"/>
          </w:tblCellMar>
        </w:tblPrEx>
        <w:trPr>
          <w:trHeight w:val="401"/>
          <w:jc w:val="center"/>
        </w:trPr>
        <w:tc>
          <w:tcPr>
            <w:tcW w:w="2802"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100</w:t>
            </w:r>
            <w:r>
              <w:rPr>
                <w:rFonts w:asciiTheme="majorEastAsia" w:eastAsiaTheme="majorEastAsia" w:hAnsiTheme="majorEastAsia" w:hint="eastAsia"/>
                <w:szCs w:val="21"/>
              </w:rPr>
              <w:t>以下</w:t>
            </w:r>
          </w:p>
        </w:tc>
        <w:tc>
          <w:tcPr>
            <w:tcW w:w="2027"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1.500%</w:t>
            </w:r>
          </w:p>
        </w:tc>
        <w:tc>
          <w:tcPr>
            <w:tcW w:w="2158"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1.500%</w:t>
            </w:r>
          </w:p>
        </w:tc>
        <w:tc>
          <w:tcPr>
            <w:tcW w:w="2158" w:type="dxa"/>
            <w:vAlign w:val="center"/>
          </w:tcPr>
          <w:p>
            <w:pPr>
              <w:snapToGrid w:val="0"/>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1.000%</w:t>
            </w:r>
          </w:p>
        </w:tc>
      </w:tr>
      <w:tr>
        <w:tblPrEx>
          <w:tblW w:w="9145" w:type="dxa"/>
          <w:jc w:val="center"/>
          <w:tblLayout w:type="fixed"/>
          <w:tblCellMar>
            <w:top w:w="0" w:type="dxa"/>
            <w:left w:w="108" w:type="dxa"/>
            <w:bottom w:w="0" w:type="dxa"/>
            <w:right w:w="108" w:type="dxa"/>
          </w:tblCellMar>
        </w:tblPrEx>
        <w:trPr>
          <w:trHeight w:val="401"/>
          <w:jc w:val="center"/>
        </w:trPr>
        <w:tc>
          <w:tcPr>
            <w:tcW w:w="2802"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100</w:t>
            </w:r>
            <w:r>
              <w:rPr>
                <w:rFonts w:asciiTheme="majorEastAsia" w:eastAsiaTheme="majorEastAsia" w:hAnsiTheme="majorEastAsia" w:hint="eastAsia"/>
                <w:szCs w:val="21"/>
              </w:rPr>
              <w:t>～</w:t>
            </w:r>
            <w:r>
              <w:rPr>
                <w:rFonts w:asciiTheme="majorEastAsia" w:eastAsiaTheme="majorEastAsia" w:hAnsiTheme="majorEastAsia"/>
                <w:szCs w:val="21"/>
              </w:rPr>
              <w:t>500</w:t>
            </w:r>
          </w:p>
        </w:tc>
        <w:tc>
          <w:tcPr>
            <w:tcW w:w="2027"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1.100%</w:t>
            </w:r>
          </w:p>
        </w:tc>
        <w:tc>
          <w:tcPr>
            <w:tcW w:w="2158"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0.800%</w:t>
            </w:r>
          </w:p>
        </w:tc>
        <w:tc>
          <w:tcPr>
            <w:tcW w:w="2158" w:type="dxa"/>
            <w:vAlign w:val="center"/>
          </w:tcPr>
          <w:p>
            <w:pPr>
              <w:snapToGrid w:val="0"/>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0.700%</w:t>
            </w:r>
          </w:p>
        </w:tc>
      </w:tr>
      <w:tr>
        <w:tblPrEx>
          <w:tblW w:w="9145" w:type="dxa"/>
          <w:jc w:val="center"/>
          <w:tblLayout w:type="fixed"/>
          <w:tblCellMar>
            <w:top w:w="0" w:type="dxa"/>
            <w:left w:w="108" w:type="dxa"/>
            <w:bottom w:w="0" w:type="dxa"/>
            <w:right w:w="108" w:type="dxa"/>
          </w:tblCellMar>
        </w:tblPrEx>
        <w:trPr>
          <w:trHeight w:val="401"/>
          <w:jc w:val="center"/>
        </w:trPr>
        <w:tc>
          <w:tcPr>
            <w:tcW w:w="2802"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500</w:t>
            </w:r>
            <w:r>
              <w:rPr>
                <w:rFonts w:asciiTheme="majorEastAsia" w:eastAsiaTheme="majorEastAsia" w:hAnsiTheme="majorEastAsia" w:hint="eastAsia"/>
                <w:szCs w:val="21"/>
              </w:rPr>
              <w:t>～</w:t>
            </w:r>
            <w:r>
              <w:rPr>
                <w:rFonts w:asciiTheme="majorEastAsia" w:eastAsiaTheme="majorEastAsia" w:hAnsiTheme="majorEastAsia"/>
                <w:szCs w:val="21"/>
              </w:rPr>
              <w:t>1</w:t>
            </w:r>
            <w:r>
              <w:rPr>
                <w:rFonts w:asciiTheme="majorEastAsia" w:eastAsiaTheme="majorEastAsia" w:hAnsiTheme="majorEastAsia" w:hint="eastAsia"/>
                <w:szCs w:val="21"/>
              </w:rPr>
              <w:t>000</w:t>
            </w:r>
          </w:p>
        </w:tc>
        <w:tc>
          <w:tcPr>
            <w:tcW w:w="2027"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0.800%</w:t>
            </w:r>
          </w:p>
        </w:tc>
        <w:tc>
          <w:tcPr>
            <w:tcW w:w="2158"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0.450%</w:t>
            </w:r>
          </w:p>
        </w:tc>
        <w:tc>
          <w:tcPr>
            <w:tcW w:w="2158" w:type="dxa"/>
            <w:vAlign w:val="center"/>
          </w:tcPr>
          <w:p>
            <w:pPr>
              <w:snapToGrid w:val="0"/>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0.550%</w:t>
            </w:r>
          </w:p>
        </w:tc>
      </w:tr>
      <w:tr>
        <w:tblPrEx>
          <w:tblW w:w="9145" w:type="dxa"/>
          <w:jc w:val="center"/>
          <w:tblLayout w:type="fixed"/>
          <w:tblCellMar>
            <w:top w:w="0" w:type="dxa"/>
            <w:left w:w="108" w:type="dxa"/>
            <w:bottom w:w="0" w:type="dxa"/>
            <w:right w:w="108" w:type="dxa"/>
          </w:tblCellMar>
        </w:tblPrEx>
        <w:trPr>
          <w:trHeight w:val="401"/>
          <w:jc w:val="center"/>
        </w:trPr>
        <w:tc>
          <w:tcPr>
            <w:tcW w:w="2802"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000～</w:t>
            </w:r>
            <w:r>
              <w:rPr>
                <w:rFonts w:asciiTheme="majorEastAsia" w:eastAsiaTheme="majorEastAsia" w:hAnsiTheme="majorEastAsia"/>
                <w:szCs w:val="21"/>
              </w:rPr>
              <w:t>5</w:t>
            </w:r>
            <w:r>
              <w:rPr>
                <w:rFonts w:asciiTheme="majorEastAsia" w:eastAsiaTheme="majorEastAsia" w:hAnsiTheme="majorEastAsia" w:hint="eastAsia"/>
                <w:szCs w:val="21"/>
              </w:rPr>
              <w:t>000</w:t>
            </w:r>
          </w:p>
        </w:tc>
        <w:tc>
          <w:tcPr>
            <w:tcW w:w="2027"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0.500%</w:t>
            </w:r>
          </w:p>
        </w:tc>
        <w:tc>
          <w:tcPr>
            <w:tcW w:w="2158"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0.250%</w:t>
            </w:r>
          </w:p>
        </w:tc>
        <w:tc>
          <w:tcPr>
            <w:tcW w:w="2158" w:type="dxa"/>
            <w:vAlign w:val="center"/>
          </w:tcPr>
          <w:p>
            <w:pPr>
              <w:snapToGrid w:val="0"/>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0.350%</w:t>
            </w:r>
          </w:p>
        </w:tc>
      </w:tr>
      <w:tr>
        <w:tblPrEx>
          <w:tblW w:w="9145" w:type="dxa"/>
          <w:jc w:val="center"/>
          <w:tblLayout w:type="fixed"/>
          <w:tblCellMar>
            <w:top w:w="0" w:type="dxa"/>
            <w:left w:w="108" w:type="dxa"/>
            <w:bottom w:w="0" w:type="dxa"/>
            <w:right w:w="108" w:type="dxa"/>
          </w:tblCellMar>
        </w:tblPrEx>
        <w:trPr>
          <w:trHeight w:val="401"/>
          <w:jc w:val="center"/>
        </w:trPr>
        <w:tc>
          <w:tcPr>
            <w:tcW w:w="2802"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5</w:t>
            </w:r>
            <w:r>
              <w:rPr>
                <w:rFonts w:asciiTheme="majorEastAsia" w:eastAsiaTheme="majorEastAsia" w:hAnsiTheme="majorEastAsia" w:hint="eastAsia"/>
                <w:szCs w:val="21"/>
              </w:rPr>
              <w:t>000～</w:t>
            </w:r>
            <w:r>
              <w:rPr>
                <w:rFonts w:asciiTheme="majorEastAsia" w:eastAsiaTheme="majorEastAsia" w:hAnsiTheme="majorEastAsia"/>
                <w:szCs w:val="21"/>
              </w:rPr>
              <w:t>1</w:t>
            </w:r>
            <w:r>
              <w:rPr>
                <w:rFonts w:asciiTheme="majorEastAsia" w:eastAsiaTheme="majorEastAsia" w:hAnsiTheme="majorEastAsia" w:hint="eastAsia"/>
                <w:szCs w:val="21"/>
              </w:rPr>
              <w:t>0000</w:t>
            </w:r>
          </w:p>
        </w:tc>
        <w:tc>
          <w:tcPr>
            <w:tcW w:w="2027"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0.250%</w:t>
            </w:r>
          </w:p>
        </w:tc>
        <w:tc>
          <w:tcPr>
            <w:tcW w:w="2158"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0.100%</w:t>
            </w:r>
          </w:p>
        </w:tc>
        <w:tc>
          <w:tcPr>
            <w:tcW w:w="2158" w:type="dxa"/>
            <w:vAlign w:val="center"/>
          </w:tcPr>
          <w:p>
            <w:pPr>
              <w:snapToGrid w:val="0"/>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0.200%</w:t>
            </w:r>
          </w:p>
        </w:tc>
      </w:tr>
      <w:tr>
        <w:tblPrEx>
          <w:tblW w:w="9145" w:type="dxa"/>
          <w:jc w:val="center"/>
          <w:tblLayout w:type="fixed"/>
          <w:tblCellMar>
            <w:top w:w="0" w:type="dxa"/>
            <w:left w:w="108" w:type="dxa"/>
            <w:bottom w:w="0" w:type="dxa"/>
            <w:right w:w="108" w:type="dxa"/>
          </w:tblCellMar>
        </w:tblPrEx>
        <w:trPr>
          <w:trHeight w:val="386"/>
          <w:jc w:val="center"/>
        </w:trPr>
        <w:tc>
          <w:tcPr>
            <w:tcW w:w="2802"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0000～</w:t>
            </w:r>
            <w:r>
              <w:rPr>
                <w:rFonts w:asciiTheme="majorEastAsia" w:eastAsiaTheme="majorEastAsia" w:hAnsiTheme="majorEastAsia"/>
                <w:szCs w:val="21"/>
              </w:rPr>
              <w:t>5</w:t>
            </w:r>
            <w:r>
              <w:rPr>
                <w:rFonts w:asciiTheme="majorEastAsia" w:eastAsiaTheme="majorEastAsia" w:hAnsiTheme="majorEastAsia" w:hint="eastAsia"/>
                <w:szCs w:val="21"/>
              </w:rPr>
              <w:t>0000</w:t>
            </w:r>
          </w:p>
        </w:tc>
        <w:tc>
          <w:tcPr>
            <w:tcW w:w="2027"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0.050%</w:t>
            </w:r>
          </w:p>
        </w:tc>
        <w:tc>
          <w:tcPr>
            <w:tcW w:w="2158"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0.050%</w:t>
            </w:r>
          </w:p>
        </w:tc>
        <w:tc>
          <w:tcPr>
            <w:tcW w:w="2158" w:type="dxa"/>
            <w:vAlign w:val="center"/>
          </w:tcPr>
          <w:p>
            <w:pPr>
              <w:snapToGrid w:val="0"/>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0.050%</w:t>
            </w:r>
          </w:p>
        </w:tc>
      </w:tr>
      <w:tr>
        <w:tblPrEx>
          <w:tblW w:w="9145" w:type="dxa"/>
          <w:jc w:val="center"/>
          <w:tblLayout w:type="fixed"/>
          <w:tblCellMar>
            <w:top w:w="0" w:type="dxa"/>
            <w:left w:w="108" w:type="dxa"/>
            <w:bottom w:w="0" w:type="dxa"/>
            <w:right w:w="108" w:type="dxa"/>
          </w:tblCellMar>
        </w:tblPrEx>
        <w:trPr>
          <w:trHeight w:val="401"/>
          <w:jc w:val="center"/>
        </w:trPr>
        <w:tc>
          <w:tcPr>
            <w:tcW w:w="2802"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5</w:t>
            </w:r>
            <w:r>
              <w:rPr>
                <w:rFonts w:asciiTheme="majorEastAsia" w:eastAsiaTheme="majorEastAsia" w:hAnsiTheme="majorEastAsia" w:hint="eastAsia"/>
                <w:szCs w:val="21"/>
              </w:rPr>
              <w:t>0000～</w:t>
            </w:r>
            <w:r>
              <w:rPr>
                <w:rFonts w:asciiTheme="majorEastAsia" w:eastAsiaTheme="majorEastAsia" w:hAnsiTheme="majorEastAsia"/>
                <w:szCs w:val="21"/>
              </w:rPr>
              <w:t>10</w:t>
            </w:r>
            <w:r>
              <w:rPr>
                <w:rFonts w:asciiTheme="majorEastAsia" w:eastAsiaTheme="majorEastAsia" w:hAnsiTheme="majorEastAsia" w:hint="eastAsia"/>
                <w:szCs w:val="21"/>
              </w:rPr>
              <w:t>0000</w:t>
            </w:r>
          </w:p>
        </w:tc>
        <w:tc>
          <w:tcPr>
            <w:tcW w:w="2027"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0.035%</w:t>
            </w:r>
          </w:p>
        </w:tc>
        <w:tc>
          <w:tcPr>
            <w:tcW w:w="2158"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0.035%</w:t>
            </w:r>
          </w:p>
        </w:tc>
        <w:tc>
          <w:tcPr>
            <w:tcW w:w="2158" w:type="dxa"/>
            <w:vAlign w:val="center"/>
          </w:tcPr>
          <w:p>
            <w:pPr>
              <w:snapToGrid w:val="0"/>
              <w:spacing w:line="360" w:lineRule="auto"/>
              <w:jc w:val="center"/>
              <w:rPr>
                <w:rFonts w:asciiTheme="majorEastAsia" w:eastAsiaTheme="majorEastAsia" w:hAnsiTheme="majorEastAsia"/>
                <w:bCs/>
                <w:szCs w:val="21"/>
              </w:rPr>
            </w:pPr>
            <w:r>
              <w:rPr>
                <w:rFonts w:asciiTheme="majorEastAsia" w:eastAsiaTheme="majorEastAsia" w:hAnsiTheme="majorEastAsia" w:hint="eastAsia"/>
                <w:bCs/>
                <w:szCs w:val="21"/>
              </w:rPr>
              <w:t>0.035%</w:t>
            </w:r>
          </w:p>
        </w:tc>
      </w:tr>
      <w:tr>
        <w:tblPrEx>
          <w:tblW w:w="9145" w:type="dxa"/>
          <w:jc w:val="center"/>
          <w:tblLayout w:type="fixed"/>
          <w:tblCellMar>
            <w:top w:w="0" w:type="dxa"/>
            <w:left w:w="108" w:type="dxa"/>
            <w:bottom w:w="0" w:type="dxa"/>
            <w:right w:w="108" w:type="dxa"/>
          </w:tblCellMar>
        </w:tblPrEx>
        <w:trPr>
          <w:trHeight w:val="401"/>
          <w:jc w:val="center"/>
        </w:trPr>
        <w:tc>
          <w:tcPr>
            <w:tcW w:w="2802"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10</w:t>
            </w:r>
            <w:r>
              <w:rPr>
                <w:rFonts w:asciiTheme="majorEastAsia" w:eastAsiaTheme="majorEastAsia" w:hAnsiTheme="majorEastAsia" w:hint="eastAsia"/>
                <w:szCs w:val="21"/>
              </w:rPr>
              <w:t>0000～</w:t>
            </w:r>
            <w:r>
              <w:rPr>
                <w:rFonts w:asciiTheme="majorEastAsia" w:eastAsiaTheme="majorEastAsia" w:hAnsiTheme="majorEastAsia"/>
                <w:szCs w:val="21"/>
              </w:rPr>
              <w:t>50</w:t>
            </w:r>
            <w:r>
              <w:rPr>
                <w:rFonts w:asciiTheme="majorEastAsia" w:eastAsiaTheme="majorEastAsia" w:hAnsiTheme="majorEastAsia" w:hint="eastAsia"/>
                <w:szCs w:val="21"/>
              </w:rPr>
              <w:t>0000</w:t>
            </w:r>
          </w:p>
        </w:tc>
        <w:tc>
          <w:tcPr>
            <w:tcW w:w="2027"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0.008%</w:t>
            </w:r>
          </w:p>
        </w:tc>
        <w:tc>
          <w:tcPr>
            <w:tcW w:w="2158"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0.008%</w:t>
            </w:r>
          </w:p>
        </w:tc>
        <w:tc>
          <w:tcPr>
            <w:tcW w:w="2158" w:type="dxa"/>
            <w:vAlign w:val="center"/>
          </w:tcPr>
          <w:p>
            <w:pPr>
              <w:snapToGrid w:val="0"/>
              <w:spacing w:line="360" w:lineRule="auto"/>
              <w:jc w:val="center"/>
              <w:rPr>
                <w:rFonts w:asciiTheme="majorEastAsia" w:eastAsiaTheme="majorEastAsia" w:hAnsiTheme="majorEastAsia"/>
                <w:bCs/>
                <w:szCs w:val="21"/>
              </w:rPr>
            </w:pPr>
            <w:r>
              <w:rPr>
                <w:rFonts w:asciiTheme="majorEastAsia" w:eastAsiaTheme="majorEastAsia" w:hAnsiTheme="majorEastAsia" w:hint="eastAsia"/>
                <w:bCs/>
                <w:szCs w:val="21"/>
              </w:rPr>
              <w:t>0.008%</w:t>
            </w:r>
          </w:p>
        </w:tc>
      </w:tr>
      <w:tr>
        <w:tblPrEx>
          <w:tblW w:w="9145" w:type="dxa"/>
          <w:jc w:val="center"/>
          <w:tblLayout w:type="fixed"/>
          <w:tblCellMar>
            <w:top w:w="0" w:type="dxa"/>
            <w:left w:w="108" w:type="dxa"/>
            <w:bottom w:w="0" w:type="dxa"/>
            <w:right w:w="108" w:type="dxa"/>
          </w:tblCellMar>
        </w:tblPrEx>
        <w:trPr>
          <w:trHeight w:val="401"/>
          <w:jc w:val="center"/>
        </w:trPr>
        <w:tc>
          <w:tcPr>
            <w:tcW w:w="2802"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50</w:t>
            </w:r>
            <w:r>
              <w:rPr>
                <w:rFonts w:asciiTheme="majorEastAsia" w:eastAsiaTheme="majorEastAsia" w:hAnsiTheme="majorEastAsia" w:hint="eastAsia"/>
                <w:szCs w:val="21"/>
              </w:rPr>
              <w:t>0000～</w:t>
            </w:r>
            <w:r>
              <w:rPr>
                <w:rFonts w:asciiTheme="majorEastAsia" w:eastAsiaTheme="majorEastAsia" w:hAnsiTheme="majorEastAsia"/>
                <w:szCs w:val="21"/>
              </w:rPr>
              <w:t>100</w:t>
            </w:r>
            <w:r>
              <w:rPr>
                <w:rFonts w:asciiTheme="majorEastAsia" w:eastAsiaTheme="majorEastAsia" w:hAnsiTheme="majorEastAsia" w:hint="eastAsia"/>
                <w:szCs w:val="21"/>
              </w:rPr>
              <w:t>0000</w:t>
            </w:r>
          </w:p>
        </w:tc>
        <w:tc>
          <w:tcPr>
            <w:tcW w:w="2027"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0.006%</w:t>
            </w:r>
          </w:p>
        </w:tc>
        <w:tc>
          <w:tcPr>
            <w:tcW w:w="2158"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0.006%</w:t>
            </w:r>
          </w:p>
        </w:tc>
        <w:tc>
          <w:tcPr>
            <w:tcW w:w="2158" w:type="dxa"/>
            <w:vAlign w:val="center"/>
          </w:tcPr>
          <w:p>
            <w:pPr>
              <w:snapToGrid w:val="0"/>
              <w:spacing w:line="360" w:lineRule="auto"/>
              <w:jc w:val="center"/>
              <w:rPr>
                <w:rFonts w:asciiTheme="majorEastAsia" w:eastAsiaTheme="majorEastAsia" w:hAnsiTheme="majorEastAsia"/>
                <w:bCs/>
                <w:szCs w:val="21"/>
              </w:rPr>
            </w:pPr>
            <w:r>
              <w:rPr>
                <w:rFonts w:asciiTheme="majorEastAsia" w:eastAsiaTheme="majorEastAsia" w:hAnsiTheme="majorEastAsia" w:hint="eastAsia"/>
                <w:bCs/>
                <w:szCs w:val="21"/>
              </w:rPr>
              <w:t>0.006%</w:t>
            </w:r>
          </w:p>
        </w:tc>
      </w:tr>
      <w:tr>
        <w:tblPrEx>
          <w:tblW w:w="9145" w:type="dxa"/>
          <w:jc w:val="center"/>
          <w:tblLayout w:type="fixed"/>
          <w:tblCellMar>
            <w:top w:w="0" w:type="dxa"/>
            <w:left w:w="108" w:type="dxa"/>
            <w:bottom w:w="0" w:type="dxa"/>
            <w:right w:w="108" w:type="dxa"/>
          </w:tblCellMar>
        </w:tblPrEx>
        <w:trPr>
          <w:trHeight w:val="416"/>
          <w:jc w:val="center"/>
        </w:trPr>
        <w:tc>
          <w:tcPr>
            <w:tcW w:w="2802"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100</w:t>
            </w:r>
            <w:r>
              <w:rPr>
                <w:rFonts w:asciiTheme="majorEastAsia" w:eastAsiaTheme="majorEastAsia" w:hAnsiTheme="majorEastAsia" w:hint="eastAsia"/>
                <w:szCs w:val="21"/>
              </w:rPr>
              <w:t>0000以上</w:t>
            </w:r>
          </w:p>
        </w:tc>
        <w:tc>
          <w:tcPr>
            <w:tcW w:w="2027"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0.004%</w:t>
            </w:r>
          </w:p>
        </w:tc>
        <w:tc>
          <w:tcPr>
            <w:tcW w:w="2158" w:type="dxa"/>
            <w:vAlign w:val="center"/>
          </w:tcPr>
          <w:p>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0.004%</w:t>
            </w:r>
          </w:p>
        </w:tc>
        <w:tc>
          <w:tcPr>
            <w:tcW w:w="2158" w:type="dxa"/>
            <w:vAlign w:val="center"/>
          </w:tcPr>
          <w:p>
            <w:pPr>
              <w:snapToGrid w:val="0"/>
              <w:spacing w:line="360" w:lineRule="auto"/>
              <w:jc w:val="center"/>
              <w:rPr>
                <w:rFonts w:asciiTheme="majorEastAsia" w:eastAsiaTheme="majorEastAsia" w:hAnsiTheme="majorEastAsia"/>
                <w:bCs/>
                <w:szCs w:val="21"/>
              </w:rPr>
            </w:pPr>
            <w:r>
              <w:rPr>
                <w:rFonts w:asciiTheme="majorEastAsia" w:eastAsiaTheme="majorEastAsia" w:hAnsiTheme="majorEastAsia" w:hint="eastAsia"/>
                <w:bCs/>
                <w:szCs w:val="21"/>
              </w:rPr>
              <w:t>0.004%</w:t>
            </w:r>
          </w:p>
        </w:tc>
      </w:tr>
    </w:tbl>
    <w:p>
      <w:pPr>
        <w:spacing w:line="360" w:lineRule="auto"/>
        <w:ind w:firstLine="412" w:firstLineChars="196"/>
        <w:rPr>
          <w:rFonts w:asciiTheme="majorEastAsia" w:eastAsiaTheme="majorEastAsia" w:hAnsiTheme="majorEastAsia"/>
          <w:szCs w:val="21"/>
        </w:rPr>
      </w:pPr>
    </w:p>
    <w:p>
      <w:pPr>
        <w:keepNext/>
        <w:keepLines/>
        <w:widowControl/>
        <w:numPr>
          <w:ilvl w:val="0"/>
          <w:numId w:val="2"/>
        </w:numPr>
        <w:adjustRightInd w:val="0"/>
        <w:spacing w:before="156" w:beforeLines="50" w:after="156" w:afterLines="50" w:line="360" w:lineRule="auto"/>
        <w:ind w:left="562" w:hanging="562"/>
        <w:jc w:val="center"/>
        <w:textAlignment w:val="baseline"/>
        <w:outlineLvl w:val="1"/>
        <w:rPr>
          <w:rFonts w:asciiTheme="majorEastAsia" w:eastAsiaTheme="majorEastAsia" w:hAnsiTheme="majorEastAsia"/>
          <w:b/>
          <w:bCs/>
          <w:kern w:val="0"/>
          <w:sz w:val="28"/>
          <w:szCs w:val="28"/>
        </w:rPr>
      </w:pPr>
      <w:bookmarkEnd w:id="60"/>
      <w:r>
        <w:rPr>
          <w:rFonts w:asciiTheme="majorEastAsia" w:eastAsiaTheme="majorEastAsia" w:hAnsiTheme="majorEastAsia" w:hint="eastAsia"/>
          <w:b/>
          <w:bCs/>
          <w:kern w:val="0"/>
          <w:sz w:val="28"/>
          <w:szCs w:val="28"/>
        </w:rPr>
        <w:t>公开招标失败的后续处理</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42．公开招标失败的处理</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42.1本项目公开招标过程中若由于投标截止后实际递交</w:t>
      </w:r>
      <w:r>
        <w:rPr>
          <w:rFonts w:asciiTheme="majorEastAsia" w:eastAsiaTheme="majorEastAsia" w:hAnsiTheme="majorEastAsia"/>
          <w:szCs w:val="21"/>
        </w:rPr>
        <w:t>投标</w:t>
      </w:r>
      <w:r>
        <w:rPr>
          <w:rFonts w:asciiTheme="majorEastAsia" w:eastAsiaTheme="majorEastAsia" w:hAnsiTheme="majorEastAsia" w:hint="eastAsia"/>
          <w:szCs w:val="21"/>
        </w:rPr>
        <w:t>文件的供应商数量不足、经评审委员会评审对招标文件作实质响应的供应商不足等原因造成公开招标失败，可由</w:t>
      </w:r>
      <w:r>
        <w:rPr>
          <w:rFonts w:asciiTheme="majorEastAsia" w:eastAsiaTheme="majorEastAsia" w:hAnsiTheme="majorEastAsia" w:cs="宋体" w:hint="eastAsia"/>
          <w:szCs w:val="21"/>
        </w:rPr>
        <w:t>采购代理机构</w:t>
      </w:r>
      <w:r>
        <w:rPr>
          <w:rFonts w:asciiTheme="majorEastAsia" w:eastAsiaTheme="majorEastAsia" w:hAnsiTheme="majorEastAsia" w:hint="eastAsia"/>
          <w:szCs w:val="21"/>
        </w:rPr>
        <w:t>重新组织采购。</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42.2对公开招标失败的项目，评审委员会在出具该项目招标失败结论的同时，可以提出重新采购组织形式的建议，以及进一步完善招标文件的资格、技术、商务要求的修改建议。</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42.3重新组织采购有以下两种组织形式：</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（1）由采购代理机构重新组织公开招标；</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（2）根据实际情况需要向同级财政部门提出非公开招标方式申请的，经同级财政部门批准，公开招标失败采购项目可转为竞争性谈判或单一来源谈判方式采购。</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42.4公开招标失败的采购项目重新组织公开招标，由采购代理机构重新按公开招标流程组织采购活动。</w:t>
      </w:r>
    </w:p>
    <w:p>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42.5公开招标失败的采购项目经同级财政部门批准转为竞争性谈判或单一来源谈判方式采购的，按规定要求组织政府采购工作。</w:t>
      </w:r>
    </w:p>
    <w:p>
      <w:pPr>
        <w:keepNext/>
        <w:keepLines/>
        <w:widowControl/>
        <w:numPr>
          <w:ilvl w:val="0"/>
          <w:numId w:val="2"/>
        </w:numPr>
        <w:adjustRightInd w:val="0"/>
        <w:spacing w:before="156" w:beforeLines="50" w:after="156" w:afterLines="50" w:line="360" w:lineRule="auto"/>
        <w:ind w:left="562" w:hanging="562"/>
        <w:jc w:val="center"/>
        <w:textAlignment w:val="baseline"/>
        <w:outlineLvl w:val="1"/>
        <w:rPr>
          <w:rFonts w:asciiTheme="majorEastAsia" w:eastAsiaTheme="majorEastAsia" w:hAnsiTheme="majorEastAsia"/>
          <w:b/>
          <w:bCs/>
          <w:kern w:val="0"/>
          <w:sz w:val="28"/>
          <w:szCs w:val="28"/>
        </w:rPr>
      </w:pPr>
      <w:bookmarkStart w:id="61" w:name="_Hlk72439043"/>
      <w:r>
        <w:rPr>
          <w:rFonts w:asciiTheme="majorEastAsia" w:eastAsiaTheme="majorEastAsia" w:hAnsiTheme="majorEastAsia" w:hint="eastAsia"/>
          <w:b/>
          <w:bCs/>
          <w:kern w:val="0"/>
          <w:sz w:val="28"/>
          <w:szCs w:val="28"/>
        </w:rPr>
        <w:t>合同的授予与备案</w:t>
      </w:r>
      <w:bookmarkEnd w:id="61"/>
    </w:p>
    <w:p>
      <w:pPr>
        <w:spacing w:line="360" w:lineRule="auto"/>
        <w:rPr>
          <w:rFonts w:asciiTheme="majorEastAsia" w:eastAsiaTheme="majorEastAsia" w:hAnsiTheme="majorEastAsia"/>
          <w:b/>
          <w:bCs/>
          <w:szCs w:val="21"/>
        </w:rPr>
      </w:pPr>
      <w:bookmarkStart w:id="62" w:name="_Toc100052408"/>
      <w:bookmarkStart w:id="63" w:name="_Toc73517679"/>
      <w:bookmarkStart w:id="64" w:name="_Toc73518157"/>
      <w:bookmarkStart w:id="65" w:name="_Toc73521674"/>
      <w:bookmarkStart w:id="66" w:name="_Toc73521586"/>
      <w:bookmarkStart w:id="67" w:name="_Hlk72439088"/>
      <w:r>
        <w:rPr>
          <w:rFonts w:asciiTheme="majorEastAsia" w:eastAsiaTheme="majorEastAsia" w:hAnsiTheme="majorEastAsia" w:hint="eastAsia"/>
          <w:b/>
          <w:bCs/>
          <w:szCs w:val="21"/>
        </w:rPr>
        <w:t>43．合同授予标准</w:t>
      </w:r>
      <w:bookmarkEnd w:id="62"/>
      <w:bookmarkEnd w:id="63"/>
      <w:bookmarkEnd w:id="64"/>
      <w:bookmarkEnd w:id="65"/>
      <w:bookmarkEnd w:id="66"/>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本项目的合同将授予经本招标文件规定评审确定的中标供应商。</w:t>
      </w:r>
    </w:p>
    <w:p>
      <w:pPr>
        <w:spacing w:line="360" w:lineRule="auto"/>
        <w:rPr>
          <w:rFonts w:asciiTheme="majorEastAsia" w:eastAsiaTheme="majorEastAsia" w:hAnsiTheme="majorEastAsia"/>
          <w:b/>
          <w:bCs/>
          <w:szCs w:val="21"/>
        </w:rPr>
      </w:pPr>
      <w:bookmarkStart w:id="68" w:name="_Toc100052409"/>
      <w:bookmarkStart w:id="69" w:name="_Toc73521675"/>
      <w:bookmarkStart w:id="70" w:name="_Toc73517680"/>
      <w:bookmarkStart w:id="71" w:name="_Toc73518158"/>
      <w:bookmarkStart w:id="72" w:name="_Toc73521587"/>
      <w:r>
        <w:rPr>
          <w:rFonts w:asciiTheme="majorEastAsia" w:eastAsiaTheme="majorEastAsia" w:hAnsiTheme="majorEastAsia" w:hint="eastAsia"/>
          <w:b/>
          <w:bCs/>
          <w:szCs w:val="21"/>
        </w:rPr>
        <w:t>44．</w:t>
      </w:r>
      <w:bookmarkEnd w:id="68"/>
      <w:bookmarkEnd w:id="69"/>
      <w:bookmarkEnd w:id="70"/>
      <w:bookmarkEnd w:id="71"/>
      <w:bookmarkEnd w:id="72"/>
      <w:r>
        <w:rPr>
          <w:rFonts w:asciiTheme="majorEastAsia" w:eastAsiaTheme="majorEastAsia" w:hAnsiTheme="majorEastAsia" w:hint="eastAsia"/>
          <w:b/>
          <w:bCs/>
          <w:szCs w:val="21"/>
        </w:rPr>
        <w:t>接受和拒绝任何或所有投标的权力</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采购代理机构和采购人保留在投标之前任何时候接受或拒绝任何投标或所有投标，以及宣布招标无效的权力，对受影响的投标人不承担任何责任，也无义务向受影响的投标人解释采取这一行动的理由。</w:t>
      </w:r>
    </w:p>
    <w:p>
      <w:pPr>
        <w:spacing w:line="360" w:lineRule="auto"/>
        <w:rPr>
          <w:rFonts w:asciiTheme="majorEastAsia" w:eastAsiaTheme="majorEastAsia" w:hAnsiTheme="majorEastAsia"/>
          <w:b/>
          <w:bCs/>
          <w:szCs w:val="21"/>
        </w:rPr>
      </w:pPr>
      <w:bookmarkStart w:id="73" w:name="_Toc100052410"/>
      <w:bookmarkStart w:id="74" w:name="_Toc73518160"/>
      <w:bookmarkStart w:id="75" w:name="_Toc73521677"/>
      <w:bookmarkStart w:id="76" w:name="_Toc73521589"/>
      <w:bookmarkStart w:id="77" w:name="_Toc73517682"/>
      <w:r>
        <w:rPr>
          <w:rFonts w:asciiTheme="majorEastAsia" w:eastAsiaTheme="majorEastAsia" w:hAnsiTheme="majorEastAsia" w:hint="eastAsia"/>
          <w:b/>
          <w:bCs/>
          <w:szCs w:val="21"/>
        </w:rPr>
        <w:t>45．合同的签订</w:t>
      </w:r>
      <w:bookmarkEnd w:id="73"/>
      <w:bookmarkEnd w:id="74"/>
      <w:bookmarkEnd w:id="75"/>
      <w:bookmarkEnd w:id="76"/>
      <w:bookmarkEnd w:id="77"/>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45.1中标人将于中标通知书发出之日起十个工作日内，按照采购文件（招标文件和投标文件等）内容与采购人签订政府采购合同；合同的实质性内容应当符合招标文件的规定；</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45.2中标人如不按本通用条款第45</w:t>
      </w:r>
      <w:r>
        <w:rPr>
          <w:rFonts w:asciiTheme="majorEastAsia" w:eastAsiaTheme="majorEastAsia" w:hAnsiTheme="majorEastAsia"/>
          <w:szCs w:val="21"/>
        </w:rPr>
        <w:t>.1</w:t>
      </w:r>
      <w:r>
        <w:rPr>
          <w:rFonts w:asciiTheme="majorEastAsia" w:eastAsiaTheme="majorEastAsia" w:hAnsiTheme="majorEastAsia" w:hint="eastAsia"/>
          <w:szCs w:val="21"/>
        </w:rPr>
        <w:t>款的规定与采购人签订合同，</w:t>
      </w:r>
      <w:r>
        <w:rPr>
          <w:rFonts w:asciiTheme="majorEastAsia" w:eastAsiaTheme="majorEastAsia" w:hAnsiTheme="majorEastAsia" w:cs="宋体"/>
          <w:szCs w:val="21"/>
        </w:rPr>
        <w:t>情节严重的，由</w:t>
      </w:r>
      <w:r>
        <w:rPr>
          <w:rFonts w:asciiTheme="majorEastAsia" w:eastAsiaTheme="majorEastAsia" w:hAnsiTheme="majorEastAsia" w:cs="宋体" w:hint="eastAsia"/>
          <w:szCs w:val="21"/>
        </w:rPr>
        <w:t>同级财政</w:t>
      </w:r>
      <w:r>
        <w:rPr>
          <w:rFonts w:asciiTheme="majorEastAsia" w:eastAsiaTheme="majorEastAsia" w:hAnsiTheme="majorEastAsia" w:cs="宋体"/>
          <w:szCs w:val="21"/>
        </w:rPr>
        <w:t>部门记入供应商诚信档案，予以通报</w:t>
      </w:r>
      <w:r>
        <w:rPr>
          <w:rFonts w:asciiTheme="majorEastAsia" w:eastAsiaTheme="majorEastAsia" w:hAnsiTheme="majorEastAsia" w:hint="eastAsia"/>
          <w:szCs w:val="21"/>
        </w:rPr>
        <w:t>；</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45.3中标人应当按照合同约定履行义务，完成中标项目，不得将中标项目转让（转包）给他人。</w:t>
      </w:r>
    </w:p>
    <w:p>
      <w:pPr>
        <w:spacing w:line="360" w:lineRule="auto"/>
        <w:rPr>
          <w:rFonts w:asciiTheme="majorEastAsia" w:eastAsiaTheme="majorEastAsia" w:hAnsiTheme="majorEastAsia"/>
          <w:b/>
          <w:bCs/>
          <w:szCs w:val="21"/>
        </w:rPr>
      </w:pPr>
      <w:bookmarkStart w:id="78" w:name="_Toc73517683"/>
      <w:bookmarkStart w:id="79" w:name="_Toc73518161"/>
      <w:bookmarkStart w:id="80" w:name="_Toc73521590"/>
      <w:bookmarkStart w:id="81" w:name="_Toc100052411"/>
      <w:bookmarkStart w:id="82" w:name="_Toc73521678"/>
      <w:r>
        <w:rPr>
          <w:rFonts w:asciiTheme="majorEastAsia" w:eastAsiaTheme="majorEastAsia" w:hAnsiTheme="majorEastAsia" w:hint="eastAsia"/>
          <w:b/>
          <w:bCs/>
          <w:szCs w:val="21"/>
        </w:rPr>
        <w:t>46．履约担保</w:t>
      </w:r>
      <w:bookmarkEnd w:id="78"/>
      <w:bookmarkEnd w:id="79"/>
      <w:bookmarkEnd w:id="80"/>
      <w:bookmarkEnd w:id="81"/>
      <w:bookmarkEnd w:id="82"/>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46.1在签订项目合同的同时，中标人应按“对通用条款的补充内容”中规定的金额向采购人提交履约担保；</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46.2，允许供应商自主选择以支票、汇票、本票、保函等非现金方式提交履约担保；</w:t>
      </w:r>
      <w:r>
        <w:rPr>
          <w:rFonts w:asciiTheme="majorEastAsia" w:eastAsiaTheme="majorEastAsia" w:hAnsiTheme="majorEastAsia"/>
          <w:szCs w:val="21"/>
        </w:rPr>
        <w:t>中标</w:t>
      </w:r>
      <w:r>
        <w:rPr>
          <w:rFonts w:asciiTheme="majorEastAsia" w:eastAsiaTheme="majorEastAsia" w:hAnsiTheme="majorEastAsia" w:hint="eastAsia"/>
          <w:szCs w:val="21"/>
        </w:rPr>
        <w:t>人</w:t>
      </w:r>
      <w:r>
        <w:rPr>
          <w:rFonts w:asciiTheme="majorEastAsia" w:eastAsiaTheme="majorEastAsia" w:hAnsiTheme="majorEastAsia"/>
          <w:szCs w:val="21"/>
        </w:rPr>
        <w:t>提交履约</w:t>
      </w:r>
      <w:r>
        <w:rPr>
          <w:rFonts w:asciiTheme="majorEastAsia" w:eastAsiaTheme="majorEastAsia" w:hAnsiTheme="majorEastAsia" w:hint="eastAsia"/>
          <w:szCs w:val="21"/>
        </w:rPr>
        <w:t>担保不是</w:t>
      </w:r>
      <w:r>
        <w:rPr>
          <w:rFonts w:asciiTheme="majorEastAsia" w:eastAsiaTheme="majorEastAsia" w:hAnsiTheme="majorEastAsia"/>
          <w:szCs w:val="21"/>
        </w:rPr>
        <w:t>合同签订的</w:t>
      </w:r>
      <w:r>
        <w:rPr>
          <w:rFonts w:asciiTheme="majorEastAsia" w:eastAsiaTheme="majorEastAsia" w:hAnsiTheme="majorEastAsia" w:hint="eastAsia"/>
          <w:szCs w:val="21"/>
        </w:rPr>
        <w:t>前提</w:t>
      </w:r>
      <w:r>
        <w:rPr>
          <w:rFonts w:asciiTheme="majorEastAsia" w:eastAsiaTheme="majorEastAsia" w:hAnsiTheme="majorEastAsia"/>
          <w:szCs w:val="21"/>
        </w:rPr>
        <w:t>条件，不要求中标</w:t>
      </w:r>
      <w:r>
        <w:rPr>
          <w:rFonts w:asciiTheme="majorEastAsia" w:eastAsiaTheme="majorEastAsia" w:hAnsiTheme="majorEastAsia" w:hint="eastAsia"/>
          <w:szCs w:val="21"/>
        </w:rPr>
        <w:t>人</w:t>
      </w:r>
      <w:r>
        <w:rPr>
          <w:rFonts w:asciiTheme="majorEastAsia" w:eastAsiaTheme="majorEastAsia" w:hAnsiTheme="majorEastAsia"/>
          <w:szCs w:val="21"/>
        </w:rPr>
        <w:t>提供除法律、法规明确规定外的其他担保</w:t>
      </w:r>
      <w:r>
        <w:rPr>
          <w:rFonts w:asciiTheme="majorEastAsia" w:eastAsiaTheme="majorEastAsia" w:hAnsiTheme="majorEastAsia" w:hint="eastAsia"/>
          <w:szCs w:val="21"/>
        </w:rPr>
        <w:t>。</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47. 合同备案</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采购人与中标人应于合同签订之日起十日内，由采购人或委托中标人将采购合同副本抄送合同备案工作实施机构备案。</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48. 合同变更</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合同变更事宜按《深圳市财政局 深圳市政府采购中心关于进一步加强市本级政府采购合同备案管理工作的通知》（深财购〔2019〕43号）相关规定执行。</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49. 项目验收</w:t>
      </w:r>
    </w:p>
    <w:p>
      <w:pPr>
        <w:spacing w:line="360" w:lineRule="auto"/>
        <w:ind w:right="176" w:firstLine="420"/>
        <w:rPr>
          <w:rFonts w:asciiTheme="majorEastAsia" w:eastAsiaTheme="majorEastAsia" w:hAnsiTheme="majorEastAsia"/>
          <w:szCs w:val="21"/>
        </w:rPr>
      </w:pPr>
      <w:r>
        <w:rPr>
          <w:rFonts w:asciiTheme="majorEastAsia" w:eastAsiaTheme="majorEastAsia" w:hAnsiTheme="majorEastAsia" w:hint="eastAsia"/>
          <w:szCs w:val="21"/>
        </w:rPr>
        <w:t>49.1采购人应当按照招标文件和合同规定的标准和方法，及时组织验收。</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50. 宣传</w:t>
      </w:r>
    </w:p>
    <w:p>
      <w:pPr>
        <w:spacing w:line="360" w:lineRule="auto"/>
        <w:ind w:left="210" w:firstLine="412" w:leftChars="100" w:firstLineChars="196"/>
        <w:rPr>
          <w:rFonts w:asciiTheme="majorEastAsia" w:eastAsiaTheme="majorEastAsia" w:hAnsiTheme="majorEastAsia"/>
          <w:szCs w:val="21"/>
        </w:rPr>
      </w:pPr>
      <w:r>
        <w:rPr>
          <w:rFonts w:asciiTheme="majorEastAsia" w:eastAsiaTheme="majorEastAsia" w:hAnsiTheme="majorEastAsia" w:hint="eastAsia"/>
          <w:szCs w:val="21"/>
        </w:rPr>
        <w:t>凡与政府采购活动有关的宣传或广告，若当中提及政府采购，</w:t>
      </w:r>
      <w:r>
        <w:rPr>
          <w:rFonts w:asciiTheme="majorEastAsia" w:eastAsiaTheme="majorEastAsia" w:hAnsiTheme="majorEastAsia"/>
          <w:szCs w:val="21"/>
        </w:rPr>
        <w:t>必须事先将具体对外宣传方案报</w:t>
      </w:r>
      <w:r>
        <w:rPr>
          <w:rFonts w:asciiTheme="majorEastAsia" w:eastAsiaTheme="majorEastAsia" w:hAnsiTheme="majorEastAsia" w:hint="eastAsia"/>
          <w:szCs w:val="21"/>
        </w:rPr>
        <w:t>同级财政部门</w:t>
      </w:r>
      <w:r>
        <w:rPr>
          <w:rFonts w:asciiTheme="majorEastAsia" w:eastAsiaTheme="majorEastAsia" w:hAnsiTheme="majorEastAsia"/>
          <w:szCs w:val="21"/>
        </w:rPr>
        <w:t>和</w:t>
      </w:r>
      <w:r>
        <w:rPr>
          <w:rFonts w:asciiTheme="majorEastAsia" w:eastAsiaTheme="majorEastAsia" w:hAnsiTheme="majorEastAsia" w:hint="eastAsia"/>
          <w:szCs w:val="21"/>
        </w:rPr>
        <w:t>采购代理机构</w:t>
      </w:r>
      <w:r>
        <w:rPr>
          <w:rFonts w:asciiTheme="majorEastAsia" w:eastAsiaTheme="majorEastAsia" w:hAnsiTheme="majorEastAsia"/>
          <w:szCs w:val="21"/>
        </w:rPr>
        <w:t>，并征得其同意。对外市场宣传包括但不限于以下形式：</w:t>
      </w:r>
    </w:p>
    <w:p>
      <w:pPr>
        <w:spacing w:line="360" w:lineRule="auto"/>
        <w:ind w:left="210" w:firstLine="412" w:leftChars="100" w:firstLineChars="196"/>
        <w:rPr>
          <w:rFonts w:asciiTheme="majorEastAsia" w:eastAsiaTheme="majorEastAsia" w:hAnsiTheme="majorEastAsia"/>
          <w:szCs w:val="21"/>
        </w:rPr>
      </w:pPr>
      <w:r>
        <w:rPr>
          <w:rFonts w:asciiTheme="majorEastAsia" w:eastAsiaTheme="majorEastAsia" w:hAnsiTheme="majorEastAsia"/>
          <w:szCs w:val="21"/>
        </w:rPr>
        <w:t>a.名片、宣传册、广告标语等；</w:t>
      </w:r>
    </w:p>
    <w:p>
      <w:pPr>
        <w:spacing w:line="360" w:lineRule="auto"/>
        <w:ind w:left="210" w:firstLine="412" w:leftChars="100" w:firstLineChars="196"/>
        <w:rPr>
          <w:rFonts w:asciiTheme="majorEastAsia" w:eastAsiaTheme="majorEastAsia" w:hAnsiTheme="majorEastAsia"/>
          <w:szCs w:val="21"/>
        </w:rPr>
      </w:pPr>
      <w:r>
        <w:rPr>
          <w:rFonts w:asciiTheme="majorEastAsia" w:eastAsiaTheme="majorEastAsia" w:hAnsiTheme="majorEastAsia"/>
          <w:szCs w:val="21"/>
        </w:rPr>
        <w:t>b.案例介绍、推广等；</w:t>
      </w:r>
    </w:p>
    <w:p>
      <w:pPr>
        <w:spacing w:line="360" w:lineRule="auto"/>
        <w:ind w:left="210" w:firstLine="412" w:leftChars="100" w:firstLineChars="196"/>
        <w:rPr>
          <w:rFonts w:asciiTheme="majorEastAsia" w:eastAsiaTheme="majorEastAsia" w:hAnsiTheme="majorEastAsia"/>
          <w:szCs w:val="21"/>
        </w:rPr>
      </w:pPr>
      <w:r>
        <w:rPr>
          <w:rFonts w:asciiTheme="majorEastAsia" w:eastAsiaTheme="majorEastAsia" w:hAnsiTheme="majorEastAsia" w:hint="eastAsia"/>
          <w:szCs w:val="21"/>
        </w:rPr>
        <w:t>c.工作</w:t>
      </w:r>
      <w:r>
        <w:rPr>
          <w:rFonts w:asciiTheme="majorEastAsia" w:eastAsiaTheme="majorEastAsia" w:hAnsiTheme="majorEastAsia"/>
          <w:szCs w:val="21"/>
        </w:rPr>
        <w:t>人员向其他消费群体宣传。</w:t>
      </w:r>
    </w:p>
    <w:p>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51. 供应商违法责任</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5</w:t>
      </w:r>
      <w:r>
        <w:rPr>
          <w:rFonts w:asciiTheme="majorEastAsia" w:eastAsiaTheme="majorEastAsia" w:hAnsiTheme="majorEastAsia"/>
          <w:szCs w:val="21"/>
        </w:rPr>
        <w:t>1.1</w:t>
      </w:r>
      <w:r>
        <w:rPr>
          <w:rFonts w:asciiTheme="majorEastAsia" w:eastAsiaTheme="majorEastAsia" w:hAnsiTheme="majorEastAsia" w:hint="eastAsia"/>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（1）在采购活动中应当回避而未回避的；</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（2）未按本条例规定签订、履行采购合同，造成严重后果的；</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（3）隐瞒真实情况，提供虚假资料的；</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（4）以非法手段排斥其他供应商参与竞争的；</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（5）与其他采购参加人串通投标的；</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（6）恶意投诉的；</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（7）向采购项目相关人行贿或者提供其他不当利益的；</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（8）阻碍、抗拒主管部门监督检查的；</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（9）其他违反本条例规定的行为。</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5</w:t>
      </w:r>
      <w:r>
        <w:rPr>
          <w:rFonts w:asciiTheme="majorEastAsia" w:eastAsiaTheme="majorEastAsia" w:hAnsiTheme="majorEastAsia"/>
          <w:szCs w:val="21"/>
        </w:rPr>
        <w:t xml:space="preserve">1.2 </w:t>
      </w:r>
      <w:r>
        <w:rPr>
          <w:rFonts w:asciiTheme="majorEastAsia" w:eastAsiaTheme="majorEastAsia" w:hAnsiTheme="majorEastAsia" w:hint="eastAsia"/>
          <w:szCs w:val="21"/>
        </w:rPr>
        <w:t>根据《深圳市财政局关于明确政府采购保证金管理工作的通知》（深财购[2019]42号）的要求，供应商在政府采购活动中出现《深圳经济特区政府采购条例实施细则》第八十四条所列情形的，</w:t>
      </w:r>
      <w:bookmarkStart w:id="83" w:name="_Hlk72440769"/>
      <w:r>
        <w:rPr>
          <w:rFonts w:asciiTheme="majorEastAsia" w:eastAsiaTheme="majorEastAsia" w:hAnsiTheme="majorEastAsia" w:hint="eastAsia"/>
          <w:szCs w:val="21"/>
        </w:rPr>
        <w:t>采购人或采购代理机构</w:t>
      </w:r>
      <w:bookmarkEnd w:id="83"/>
      <w:r>
        <w:rPr>
          <w:rFonts w:asciiTheme="majorEastAsia" w:eastAsiaTheme="majorEastAsia" w:hAnsiTheme="majorEastAsia" w:hint="eastAsia"/>
          <w:szCs w:val="21"/>
        </w:rPr>
        <w:t>可将有关情况报同级财政部门，由财政部门根据实际情况记入供应商诚信档案，予以通报：</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）投标截止后，撤销投标的；</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w:t>
      </w:r>
      <w:r>
        <w:rPr>
          <w:rFonts w:asciiTheme="majorEastAsia" w:eastAsiaTheme="majorEastAsia" w:hAnsiTheme="majorEastAsia" w:hint="eastAsia"/>
          <w:szCs w:val="21"/>
        </w:rPr>
        <w:t>2</w:t>
      </w:r>
      <w:r>
        <w:rPr>
          <w:rFonts w:asciiTheme="majorEastAsia" w:eastAsiaTheme="majorEastAsia" w:hAnsiTheme="majorEastAsia"/>
          <w:szCs w:val="21"/>
        </w:rPr>
        <w:t>）中标后无正当理由未在规定期限内签订合同的；</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w:t>
      </w:r>
      <w:r>
        <w:rPr>
          <w:rFonts w:asciiTheme="majorEastAsia" w:eastAsiaTheme="majorEastAsia" w:hAnsiTheme="majorEastAsia" w:hint="eastAsia"/>
          <w:szCs w:val="21"/>
        </w:rPr>
        <w:t>3</w:t>
      </w:r>
      <w:r>
        <w:rPr>
          <w:rFonts w:asciiTheme="majorEastAsia" w:eastAsiaTheme="majorEastAsia" w:hAnsiTheme="majorEastAsia"/>
          <w:szCs w:val="21"/>
        </w:rPr>
        <w:t>）将中标项目转让给他人、或者在投标文件中未说明且未经采购人、采购招标机构同意，将中标项目分包给他人的；</w:t>
      </w:r>
    </w:p>
    <w:p>
      <w:pPr>
        <w:spacing w:line="360" w:lineRule="auto"/>
        <w:ind w:firstLine="412" w:firstLineChars="196"/>
        <w:rPr>
          <w:rFonts w:asciiTheme="majorEastAsia" w:eastAsiaTheme="majorEastAsia" w:hAnsiTheme="majorEastAsia"/>
          <w:szCs w:val="21"/>
        </w:rPr>
      </w:pPr>
      <w:r>
        <w:rPr>
          <w:rFonts w:asciiTheme="majorEastAsia" w:eastAsiaTheme="majorEastAsia" w:hAnsiTheme="majorEastAsia"/>
          <w:szCs w:val="21"/>
        </w:rPr>
        <w:t>（</w:t>
      </w:r>
      <w:r>
        <w:rPr>
          <w:rFonts w:asciiTheme="majorEastAsia" w:eastAsiaTheme="majorEastAsia" w:hAnsiTheme="majorEastAsia" w:hint="eastAsia"/>
          <w:szCs w:val="21"/>
        </w:rPr>
        <w:t>4</w:t>
      </w:r>
      <w:r>
        <w:rPr>
          <w:rFonts w:asciiTheme="majorEastAsia" w:eastAsiaTheme="majorEastAsia" w:hAnsiTheme="majorEastAsia"/>
          <w:szCs w:val="21"/>
        </w:rPr>
        <w:t>）拒绝履行合同义务的</w:t>
      </w:r>
      <w:r>
        <w:rPr>
          <w:rFonts w:asciiTheme="majorEastAsia" w:eastAsiaTheme="majorEastAsia" w:hAnsiTheme="majorEastAsia" w:hint="eastAsia"/>
          <w:szCs w:val="21"/>
        </w:rPr>
        <w:t>。</w:t>
      </w:r>
    </w:p>
    <w:p>
      <w:pPr>
        <w:keepNext/>
        <w:keepLines/>
        <w:widowControl/>
        <w:numPr>
          <w:ilvl w:val="0"/>
          <w:numId w:val="2"/>
        </w:numPr>
        <w:adjustRightInd w:val="0"/>
        <w:spacing w:before="156" w:beforeLines="50" w:after="156" w:afterLines="50" w:line="360" w:lineRule="auto"/>
        <w:ind w:left="562" w:hanging="562"/>
        <w:jc w:val="center"/>
        <w:textAlignment w:val="baseline"/>
        <w:outlineLvl w:val="1"/>
        <w:rPr>
          <w:rFonts w:asciiTheme="majorEastAsia" w:eastAsiaTheme="majorEastAsia" w:hAnsiTheme="majorEastAsia"/>
          <w:b/>
          <w:bCs/>
          <w:kern w:val="0"/>
          <w:sz w:val="28"/>
          <w:szCs w:val="28"/>
        </w:rPr>
      </w:pPr>
      <w:bookmarkEnd w:id="67"/>
      <w:r>
        <w:rPr>
          <w:rFonts w:asciiTheme="majorEastAsia" w:eastAsiaTheme="majorEastAsia" w:hAnsiTheme="majorEastAsia" w:hint="eastAsia"/>
          <w:b/>
          <w:bCs/>
          <w:kern w:val="0"/>
          <w:sz w:val="28"/>
          <w:szCs w:val="28"/>
        </w:rPr>
        <w:t>质疑处理</w:t>
      </w:r>
    </w:p>
    <w:p>
      <w:pPr>
        <w:spacing w:line="360" w:lineRule="auto"/>
        <w:rPr>
          <w:rFonts w:asciiTheme="majorEastAsia" w:eastAsiaTheme="majorEastAsia" w:hAnsiTheme="majorEastAsia"/>
          <w:b/>
          <w:bCs/>
          <w:szCs w:val="21"/>
        </w:rPr>
      </w:pPr>
      <w:bookmarkStart w:id="84" w:name="_Hlk72439706"/>
      <w:r>
        <w:rPr>
          <w:rFonts w:asciiTheme="majorEastAsia" w:eastAsiaTheme="majorEastAsia" w:hAnsiTheme="majorEastAsia" w:hint="eastAsia"/>
          <w:b/>
          <w:bCs/>
          <w:szCs w:val="21"/>
        </w:rPr>
        <w:t>52.质疑提出与答复</w:t>
      </w:r>
    </w:p>
    <w:p>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52.1提出质疑</w:t>
      </w:r>
    </w:p>
    <w:p>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52.2</w:t>
      </w:r>
      <w:r>
        <w:rPr>
          <w:rFonts w:asciiTheme="majorEastAsia" w:eastAsiaTheme="majorEastAsia" w:hAnsiTheme="majorEastAsia"/>
          <w:szCs w:val="21"/>
        </w:rPr>
        <w:t>法律依据</w:t>
      </w:r>
    </w:p>
    <w:p>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《中华人民共和国政府采购法》、《中华人民共和国政府采购法实施条例》、</w:t>
      </w:r>
      <w:r>
        <w:rPr>
          <w:rFonts w:asciiTheme="majorEastAsia" w:eastAsiaTheme="majorEastAsia" w:hAnsiTheme="majorEastAsia"/>
          <w:szCs w:val="21"/>
        </w:rPr>
        <w:t>《</w:t>
      </w:r>
      <w:r>
        <w:rPr>
          <w:rFonts w:asciiTheme="majorEastAsia" w:eastAsiaTheme="majorEastAsia" w:hAnsiTheme="majorEastAsia" w:hint="eastAsia"/>
          <w:szCs w:val="21"/>
        </w:rPr>
        <w:t>深圳经济特区政府采购</w:t>
      </w:r>
      <w:r>
        <w:rPr>
          <w:rFonts w:asciiTheme="majorEastAsia" w:eastAsiaTheme="majorEastAsia" w:hAnsiTheme="majorEastAsia"/>
          <w:szCs w:val="21"/>
        </w:rPr>
        <w:t>条例</w:t>
      </w:r>
      <w:r>
        <w:rPr>
          <w:rFonts w:asciiTheme="majorEastAsia" w:eastAsiaTheme="majorEastAsia" w:hAnsiTheme="majorEastAsia" w:hint="eastAsia"/>
          <w:szCs w:val="21"/>
        </w:rPr>
        <w:t>》、《深圳经济特区政府采购条例实施细则》、《政府采购质疑和投诉办法》（财政部令第94号）和其他有关法律法规规定。</w:t>
      </w:r>
    </w:p>
    <w:p>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52.3质疑条件</w:t>
      </w:r>
    </w:p>
    <w:p>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52.3.1提出质疑的供应商应当是参与所质疑项目采购活动的供应商；</w:t>
      </w:r>
      <w:bookmarkStart w:id="85" w:name="_Hlk75374941"/>
      <w:r>
        <w:rPr>
          <w:rFonts w:asciiTheme="majorEastAsia" w:eastAsiaTheme="majorEastAsia" w:hAnsiTheme="majorEastAsia" w:hint="eastAsia"/>
          <w:szCs w:val="21"/>
        </w:rPr>
        <w:t>以联合体形式参与的，质疑应当由组成联合体的所有成员共同提出</w:t>
      </w:r>
      <w:bookmarkEnd w:id="85"/>
      <w:r>
        <w:rPr>
          <w:rFonts w:asciiTheme="majorEastAsia" w:eastAsiaTheme="majorEastAsia" w:hAnsiTheme="majorEastAsia" w:hint="eastAsia"/>
          <w:szCs w:val="21"/>
        </w:rPr>
        <w:t>；</w:t>
      </w:r>
    </w:p>
    <w:p>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szCs w:val="21"/>
        </w:rPr>
        <w:t>52.3.3应提交书面质疑函，质疑函应当包括以下内容：</w:t>
      </w:r>
    </w:p>
    <w:p>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szCs w:val="21"/>
        </w:rPr>
        <w:t>（1）供应商的名称（或者姓名）、地址、邮编、邮箱、联系人及联系电话；</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（2）质疑项目的名称、编号；</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（3）具体、明确的质疑对象、质疑事项和质疑请求；</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（4）因质疑事项而受损害的权益；</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（5）事实依据；</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（6）必要的法律依据；</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（7）提出质疑的日期。</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供应商为自然人的，应当由本人签字；供应商为法人或者其他组织的，应当由法定代表人（负责人），或者其授权代理人签字或者盖章，并加盖公章。</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52.4提交</w:t>
      </w:r>
      <w:r>
        <w:rPr>
          <w:rFonts w:asciiTheme="majorEastAsia" w:eastAsiaTheme="majorEastAsia" w:hAnsiTheme="majorEastAsia"/>
          <w:szCs w:val="21"/>
        </w:rPr>
        <w:t>材料</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供应商可以委托代理人进行质疑。</w:t>
      </w:r>
      <w:r>
        <w:rPr>
          <w:rFonts w:asciiTheme="majorEastAsia" w:eastAsiaTheme="majorEastAsia" w:hAnsi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52.5提交方式</w:t>
      </w:r>
    </w:p>
    <w:p>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szCs w:val="21"/>
        </w:rPr>
        <w:t>5</w:t>
      </w:r>
      <w:r>
        <w:rPr>
          <w:rFonts w:asciiTheme="majorEastAsia" w:eastAsiaTheme="majorEastAsia" w:hAnsiTheme="majorEastAsia"/>
          <w:szCs w:val="21"/>
        </w:rPr>
        <w:t>2.5.1</w:t>
      </w:r>
      <w:r>
        <w:rPr>
          <w:rFonts w:asciiTheme="majorEastAsia" w:eastAsiaTheme="majorEastAsia" w:hAnsiTheme="majorEastAsia" w:hint="eastAsia"/>
          <w:szCs w:val="21"/>
        </w:rPr>
        <w:t>供应商登录“深圳政府采购智慧平台用户网上办事子系统（http://zfcg.szggzy.com/TPBidder/memberLogin）”，在“【我的项目】→【项目流程】→【质疑】”中提出质疑。</w:t>
      </w:r>
    </w:p>
    <w:p>
      <w:pPr>
        <w:spacing w:line="360" w:lineRule="auto"/>
        <w:ind w:firstLine="420" w:firstLineChars="200"/>
        <w:rPr>
          <w:rFonts w:asciiTheme="majorEastAsia" w:eastAsiaTheme="majorEastAsia" w:hAnsiTheme="majorEastAsia"/>
          <w:b/>
          <w:bCs/>
          <w:szCs w:val="21"/>
        </w:rPr>
      </w:pPr>
      <w:r>
        <w:rPr>
          <w:rFonts w:asciiTheme="majorEastAsia" w:eastAsiaTheme="majorEastAsia" w:hAnsiTheme="majorEastAsia" w:hint="eastAsia"/>
          <w:szCs w:val="21"/>
        </w:rPr>
        <w:t>5</w:t>
      </w:r>
      <w:r>
        <w:rPr>
          <w:rFonts w:asciiTheme="majorEastAsia" w:eastAsiaTheme="majorEastAsia" w:hAnsiTheme="majorEastAsia"/>
          <w:szCs w:val="21"/>
        </w:rPr>
        <w:t>2.5.2</w:t>
      </w:r>
      <w:r>
        <w:rPr>
          <w:rFonts w:asciiTheme="majorEastAsia" w:eastAsiaTheme="majorEastAsia" w:hAnsiTheme="majorEastAsia" w:hint="eastAsia"/>
          <w:szCs w:val="21"/>
        </w:rPr>
        <w:t>同时，请质疑供应商根据深圳政府采购智慧平台（http://zfcg.szggzy.com/）所发布的质疑指引、质疑函模板填写质疑函并提交质疑材料。</w:t>
      </w:r>
      <w:r>
        <w:rPr>
          <w:rFonts w:asciiTheme="majorEastAsia" w:eastAsiaTheme="majorEastAsia" w:hAnsiTheme="majorEastAsia" w:hint="eastAsia"/>
          <w:bCs/>
          <w:szCs w:val="21"/>
        </w:rPr>
        <w:t>地址：深圳市中正招标有限公司（深圳市福田区民田路171号新华保险大厦903），质疑咨询电话：0755-83026699。</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52.6收文办理</w:t>
      </w:r>
      <w:r>
        <w:rPr>
          <w:rFonts w:asciiTheme="majorEastAsia" w:eastAsiaTheme="majorEastAsia" w:hAnsiTheme="majorEastAsia"/>
          <w:szCs w:val="21"/>
        </w:rPr>
        <w:t>程序</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52.6.1供应商提交的质疑符合受理条件的，采购代理机构自收到质疑材料之日起即为受理，应当向供应商出具质疑函收文回执并可以要求其递交质疑的法定代表人（负责人）或者授权代理人签署质疑文书送达地址确认书。</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52.6.2供应商提交的质疑材料不符合质疑条件的，视情况处理：</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供应商提交的质疑存在下列情形之一的，不予受理：</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（1）质疑主体不满足要求的；</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（2）供应商自身权益未受到损害的；</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（3）供应商未在法定质疑期限内提出质疑的；</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（5）其他不符合受理条件情形的。</w:t>
      </w:r>
    </w:p>
    <w:p>
      <w:pPr>
        <w:spacing w:line="360" w:lineRule="auto"/>
        <w:ind w:firstLine="420" w:firstLineChars="200"/>
        <w:rPr>
          <w:rFonts w:asciiTheme="majorEastAsia" w:eastAsiaTheme="majorEastAsia" w:hAnsiTheme="majorEastAsia"/>
          <w:szCs w:val="21"/>
        </w:rPr>
      </w:pPr>
      <w:r>
        <w:rPr>
          <w:rFonts w:asciiTheme="majorEastAsia" w:eastAsiaTheme="majorEastAsia" w:hAnsiTheme="majorEastAsia" w:hint="eastAsia"/>
          <w:szCs w:val="21"/>
        </w:rPr>
        <w:t>质疑事项不予受理的，采购代理机构应当向供应商出具不符合质疑条件告知书。</w:t>
      </w:r>
    </w:p>
    <w:p>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52.7质疑答复时限</w:t>
      </w:r>
    </w:p>
    <w:p>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自收文之日起七个工作日内。</w:t>
      </w:r>
    </w:p>
    <w:p>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52.8投诉</w:t>
      </w:r>
    </w:p>
    <w:p>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对质疑答复不满意或者未在规定时间内答复的，提出质疑的供应商可以在答复期满后15个工作日内向同级财政部门投诉。</w:t>
      </w:r>
      <w:bookmarkEnd w:id="84"/>
    </w:p>
    <w:p>
      <w:pPr>
        <w:widowControl/>
        <w:jc w:val="left"/>
        <w:rPr>
          <w:rFonts w:ascii="宋体" w:hAnsi="宋体"/>
          <w:b/>
          <w:bCs/>
          <w:kern w:val="0"/>
          <w:sz w:val="24"/>
          <w:szCs w:val="20"/>
        </w:rPr>
      </w:pPr>
    </w:p>
    <w:sectPr>
      <w:pgSz w:w="11906" w:h="16838"/>
      <w:pgMar w:top="1440" w:right="1417" w:bottom="1440" w:left="1417" w:header="851" w:footer="992" w:gutter="0"/>
      <w:pgBorders>
        <w:top w:val="nil"/>
        <w:left w:val="nil"/>
        <w:bottom w:val="nil"/>
        <w:right w:val="nil"/>
      </w:pgBorders>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隶书">
    <w:panose1 w:val="0201050906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
    <w:altName w:val="华文仿宋"/>
    <w:panose1 w:val="00000000000000000000"/>
    <w:charset w:val="00"/>
    <w:family w:val="auto"/>
    <w:pitch w:val="default"/>
    <w:sig w:usb0="00000000" w:usb1="00000000" w:usb2="00000000" w:usb3="00000000" w:csb0="00040001" w:csb1="00000000"/>
  </w:font>
  <w:font w:name="ˎ̥">
    <w:altName w:val="华文仿宋"/>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Arial (W1)">
    <w:altName w:val="Arial"/>
    <w:panose1 w:val="00000000000000000000"/>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长城仿宋">
    <w:altName w:val="仿宋"/>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汉仪细等线简">
    <w:altName w:val="华文仿宋"/>
    <w:panose1 w:val="00000000000000000000"/>
    <w:charset w:val="86"/>
    <w:family w:val="modern"/>
    <w:pitch w:val="default"/>
    <w:sig w:usb0="00000000" w:usb1="00000000" w:usb2="00000012" w:usb3="00000000" w:csb0="00040000" w:csb1="00000000"/>
  </w:font>
  <w:font w:name="H Yb 2gj">
    <w:altName w:val="华文仿宋"/>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0" w:usb3="00000000" w:csb0="4002009F" w:csb1="DFD7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38497"/>
      <w:richText/>
    </w:sdtPr>
    <w:sdtContent>
      <w:p>
        <w:pPr>
          <w:pStyle w:val="Footer"/>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A7B1A59D"/>
    <w:multiLevelType w:val="singleLevel"/>
    <w:tmpl w:val="A7B1A59D"/>
    <w:lvl w:ilvl="0">
      <w:start w:val="8"/>
      <w:numFmt w:val="decimal"/>
      <w:suff w:val="nothing"/>
      <w:lvlText w:val="%1、"/>
      <w:lvlJc w:val="left"/>
    </w:lvl>
  </w:abstractNum>
  <w:abstractNum w:abstractNumId="1">
    <w:nsid w:val="00000003"/>
    <w:multiLevelType w:val="multilevel"/>
    <w:tmpl w:val="0000000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trackRevision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NiN2JjZGQwODQzNTVmMDg4ZGNmNzRhYmJlZDY2YTUifQ=="/>
  </w:docVar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unhideWhenUsed="0" w:qFormat="1"/>
    <w:lsdException w:name="index 2"/>
    <w:lsdException w:name="index 3"/>
    <w:lsdException w:name="index 4"/>
    <w:lsdException w:name="index 5"/>
    <w:lsdException w:name="index 6"/>
    <w:lsdException w:name="index 7"/>
    <w:lsdException w:name="index 8"/>
    <w:lsdException w:name="index 9"/>
    <w:lsdException w:name="toc 1" w:semiHidden="0" w:uiPriority="0" w:unhideWhenUsed="0" w:qFormat="1"/>
    <w:lsdException w:name="toc 2" w:semiHidden="0" w:uiPriority="0" w:unhideWhenUsed="0" w:qFormat="1"/>
    <w:lsdException w:name="toc 3" w:uiPriority="0" w:unhideWhenUsed="0" w:qFormat="1"/>
    <w:lsdException w:name="toc 4" w:uiPriority="0" w:unhideWhenUsed="0" w:qFormat="1"/>
    <w:lsdException w:name="toc 5" w:uiPriority="0" w:unhideWhenUsed="0" w:qFormat="1"/>
    <w:lsdException w:name="toc 6" w:uiPriority="0" w:unhideWhenUsed="0" w:qFormat="1"/>
    <w:lsdException w:name="toc 7" w:uiPriority="0" w:unhideWhenUsed="0" w:qFormat="1"/>
    <w:lsdException w:name="toc 8" w:uiPriority="0" w:unhideWhenUsed="0" w:qFormat="1"/>
    <w:lsdException w:name="toc 9" w:uiPriority="0" w:unhideWhenUsed="0" w:qFormat="1"/>
    <w:lsdException w:name="Normal Indent" w:semiHidden="0" w:uiPriority="0" w:unhideWhenUsed="0" w:qFormat="1"/>
    <w:lsdException w:name="footnote text"/>
    <w:lsdException w:name="annotation text" w:semiHidden="0" w:uiPriority="0" w:unhideWhenUsed="0" w:qFormat="1"/>
    <w:lsdException w:name="header" w:semiHidden="0" w:qFormat="1"/>
    <w:lsdException w:name="footer" w:semiHidden="0" w:qFormat="1"/>
    <w:lsdException w:name="index heading"/>
    <w:lsdException w:name="caption" w:semiHidden="0" w:uiPriority="0" w:unhideWhenUsed="0" w:qFormat="1"/>
    <w:lsdException w:name="table of figures"/>
    <w:lsdException w:name="envelope address"/>
    <w:lsdException w:name="envelope return"/>
    <w:lsdException w:name="footnote reference"/>
    <w:lsdException w:name="annotation reference" w:semiHidden="0" w:uiPriority="0" w:unhideWhenUsed="0" w:qFormat="1"/>
    <w:lsdException w:name="line number"/>
    <w:lsdException w:name="page number" w:semiHidden="0" w:uiPriority="0" w:unhideWhenUsed="0" w:qFormat="1"/>
    <w:lsdException w:name="endnote reference"/>
    <w:lsdException w:name="endnote text"/>
    <w:lsdException w:name="table of authorities"/>
    <w:lsdException w:name="macro"/>
    <w:lsdException w:name="toa heading"/>
    <w:lsdException w:name="List"/>
    <w:lsdException w:name="List Bullet" w:semiHidden="0" w:uiPriority="0" w:unhideWhenUsed="0" w:qFormat="1"/>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0" w:unhideWhenUsed="0" w:qFormat="1"/>
    <w:lsdException w:name="Closing"/>
    <w:lsdException w:name="Signature"/>
    <w:lsdException w:name="Default Paragraph Font" w:uiPriority="1" w:qFormat="1"/>
    <w:lsdException w:name="Body Text" w:semiHidden="0" w:uiPriority="0" w:unhideWhenUsed="0" w:qFormat="1"/>
    <w:lsdException w:name="Body Text Indent" w:semiHidden="0" w:uiPriority="0" w:unhideWhenUsed="0" w:qFormat="1"/>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semiHidden="0" w:uiPriority="0" w:unhideWhenUsed="0" w:qFormat="1"/>
    <w:lsdException w:name="Body Text First Indent" w:semiHidden="0" w:uiPriority="0" w:unhideWhenUsed="0" w:qFormat="1"/>
    <w:lsdException w:name="Body Text First Indent 2"/>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Block Text"/>
    <w:lsdException w:name="Hyperlink" w:semiHidden="0" w:uiPriority="0" w:unhideWhenUsed="0" w:qFormat="1"/>
    <w:lsdException w:name="FollowedHyperlink" w:semiHidden="0" w:qFormat="1"/>
    <w:lsdException w:name="Strong" w:semiHidden="0" w:uiPriority="0"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E-mail Signature"/>
    <w:lsdException w:name="Normal (Web)" w:semiHidden="0" w:qFormat="1"/>
    <w:lsdException w:name="HTML Acronym" w:qFormat="1"/>
    <w:lsdException w:name="HTML Address"/>
    <w:lsdException w:name="HTML Cite" w:qFormat="1"/>
    <w:lsdException w:name="HTML Code" w:qFormat="1"/>
    <w:lsdException w:name="HTML Definition" w:qFormat="1"/>
    <w:lsdException w:name="HTML Keyboard" w:qFormat="1"/>
    <w:lsdException w:name="HTML Preformatted" w:semiHidden="0" w:uiPriority="0" w:unhideWhenUsed="0" w:qFormat="1"/>
    <w:lsdException w:name="HTML Sample" w:qFormat="1"/>
    <w:lsdException w:name="HTML Typewriter" w:qFormat="1"/>
    <w:lsdException w:name="HTML Variable" w:qFormat="1"/>
    <w:lsdException w:name="Normal Table" w:qFormat="1"/>
    <w:lsdException w:name="annotation subject" w:semiHidden="0" w:unhideWhenUsed="0" w:qFormat="1"/>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semiHidden="0" w:unhideWhenUsed="0" w:qFormat="1"/>
    <w:lsdException w:name="Table Grid" w:semiHidden="0" w:uiPriority="0" w:unhideWhenUsed="0" w:qFormat="1"/>
    <w:lsdException w:name="Table Theme"/>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a"/>
    <w:qFormat/>
    <w:pPr>
      <w:widowControl w:val="0"/>
      <w:jc w:val="both"/>
    </w:pPr>
    <w:rPr>
      <w:rFonts w:ascii="Calibri" w:eastAsia="宋体" w:hAnsi="Calibri" w:cs="Times New Roman"/>
      <w:kern w:val="2"/>
      <w:sz w:val="21"/>
      <w:szCs w:val="22"/>
      <w:lang w:val="en-US" w:eastAsia="zh-CN" w:bidi="ar-SA"/>
    </w:rPr>
  </w:style>
  <w:style w:type="paragraph" w:styleId="Heading1">
    <w:name w:val="heading 1"/>
    <w:basedOn w:val="Heading3"/>
    <w:next w:val="Normal"/>
    <w:link w:val="1Char"/>
    <w:uiPriority w:val="9"/>
    <w:qFormat/>
    <w:pPr>
      <w:spacing w:before="340" w:after="330" w:line="360" w:lineRule="auto"/>
      <w:jc w:val="center"/>
      <w:outlineLvl w:val="0"/>
    </w:pPr>
    <w:rPr>
      <w:rFonts w:eastAsia="黑体"/>
      <w:kern w:val="44"/>
      <w:szCs w:val="44"/>
    </w:rPr>
  </w:style>
  <w:style w:type="paragraph" w:styleId="Heading2">
    <w:name w:val="heading 2"/>
    <w:basedOn w:val="Heading3"/>
    <w:next w:val="Heading4"/>
    <w:link w:val="2Char"/>
    <w:qFormat/>
    <w:pPr>
      <w:adjustRightInd w:val="0"/>
      <w:jc w:val="center"/>
      <w:textAlignment w:val="baseline"/>
      <w:outlineLvl w:val="1"/>
    </w:pPr>
    <w:rPr>
      <w:sz w:val="24"/>
      <w:szCs w:val="20"/>
    </w:rPr>
  </w:style>
  <w:style w:type="paragraph" w:styleId="Heading3">
    <w:name w:val="heading 3"/>
    <w:basedOn w:val="Normal"/>
    <w:next w:val="Normal"/>
    <w:link w:val="3Char1"/>
    <w:uiPriority w:val="9"/>
    <w:qFormat/>
    <w:pPr>
      <w:spacing w:before="260" w:after="260"/>
      <w:outlineLvl w:val="2"/>
    </w:pPr>
    <w:rPr>
      <w:rFonts w:ascii="宋体" w:hAnsi="宋体"/>
      <w:szCs w:val="32"/>
    </w:rPr>
  </w:style>
  <w:style w:type="paragraph" w:styleId="Heading4">
    <w:name w:val="heading 4"/>
    <w:basedOn w:val="Normal"/>
    <w:next w:val="Normal"/>
    <w:link w:val="4Char"/>
    <w:qFormat/>
    <w:pPr>
      <w:keepNext/>
      <w:keepLines/>
      <w:spacing w:before="280" w:after="290" w:line="376" w:lineRule="auto"/>
      <w:outlineLvl w:val="3"/>
    </w:pPr>
    <w:rPr>
      <w:rFonts w:ascii="Arial" w:eastAsia="黑体" w:hAnsi="Arial"/>
      <w:b/>
      <w:bCs/>
      <w:kern w:val="0"/>
      <w:sz w:val="28"/>
      <w:szCs w:val="28"/>
    </w:rPr>
  </w:style>
  <w:style w:type="paragraph" w:styleId="Heading5">
    <w:name w:val="heading 5"/>
    <w:basedOn w:val="Normal"/>
    <w:next w:val="NormalIndent"/>
    <w:link w:val="5Char"/>
    <w:qFormat/>
    <w:pPr>
      <w:keepNext/>
      <w:keepLines/>
      <w:spacing w:before="280" w:after="290" w:line="376" w:lineRule="auto"/>
      <w:outlineLvl w:val="4"/>
    </w:pPr>
    <w:rPr>
      <w:rFonts w:ascii="Times New Roman" w:hAnsi="Times New Roman"/>
      <w:b/>
      <w:kern w:val="0"/>
      <w:sz w:val="28"/>
      <w:szCs w:val="20"/>
    </w:rPr>
  </w:style>
  <w:style w:type="paragraph" w:styleId="Heading6">
    <w:name w:val="heading 6"/>
    <w:basedOn w:val="Normal"/>
    <w:next w:val="NormalIndent"/>
    <w:link w:val="6Char"/>
    <w:qFormat/>
    <w:pPr>
      <w:keepNext/>
      <w:keepLines/>
      <w:spacing w:before="240" w:after="64" w:line="320" w:lineRule="auto"/>
      <w:outlineLvl w:val="5"/>
    </w:pPr>
    <w:rPr>
      <w:rFonts w:ascii="Arial" w:eastAsia="黑体" w:hAnsi="Arial"/>
      <w:b/>
      <w:kern w:val="0"/>
      <w:sz w:val="24"/>
      <w:szCs w:val="20"/>
    </w:rPr>
  </w:style>
  <w:style w:type="paragraph" w:styleId="Heading7">
    <w:name w:val="heading 7"/>
    <w:basedOn w:val="Normal"/>
    <w:next w:val="NormalIndent"/>
    <w:link w:val="7Char"/>
    <w:qFormat/>
    <w:pPr>
      <w:keepNext/>
      <w:keepLines/>
      <w:spacing w:before="240" w:after="64" w:line="320" w:lineRule="auto"/>
      <w:outlineLvl w:val="6"/>
    </w:pPr>
    <w:rPr>
      <w:rFonts w:ascii="Times New Roman" w:hAnsi="Times New Roman"/>
      <w:b/>
      <w:kern w:val="0"/>
      <w:sz w:val="24"/>
      <w:szCs w:val="20"/>
    </w:rPr>
  </w:style>
  <w:style w:type="paragraph" w:styleId="Heading8">
    <w:name w:val="heading 8"/>
    <w:basedOn w:val="Normal"/>
    <w:next w:val="NormalIndent"/>
    <w:link w:val="8Char"/>
    <w:qFormat/>
    <w:pPr>
      <w:keepNext/>
      <w:keepLines/>
      <w:spacing w:before="240" w:after="64" w:line="320" w:lineRule="auto"/>
      <w:outlineLvl w:val="7"/>
    </w:pPr>
    <w:rPr>
      <w:rFonts w:ascii="Arial" w:eastAsia="黑体" w:hAnsi="Arial"/>
      <w:kern w:val="0"/>
      <w:sz w:val="24"/>
      <w:szCs w:val="20"/>
    </w:rPr>
  </w:style>
  <w:style w:type="paragraph" w:styleId="Heading9">
    <w:name w:val="heading 9"/>
    <w:basedOn w:val="Normal"/>
    <w:next w:val="NormalIndent"/>
    <w:link w:val="9Char"/>
    <w:qFormat/>
    <w:pPr>
      <w:keepNext/>
      <w:keepLines/>
      <w:spacing w:before="240" w:after="64" w:line="320" w:lineRule="auto"/>
      <w:outlineLvl w:val="8"/>
    </w:pPr>
    <w:rPr>
      <w:rFonts w:ascii="Arial" w:eastAsia="黑体" w:hAnsi="Arial"/>
      <w:kern w:val="0"/>
      <w:sz w:val="20"/>
      <w:szCs w:val="20"/>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customStyle="1" w:styleId="a">
    <w:name w:val="表格文字"/>
    <w:basedOn w:val="Normal"/>
    <w:uiPriority w:val="99"/>
    <w:qFormat/>
    <w:pPr>
      <w:spacing w:before="25" w:after="25"/>
    </w:pPr>
    <w:rPr>
      <w:spacing w:val="10"/>
      <w:sz w:val="24"/>
    </w:rPr>
  </w:style>
  <w:style w:type="paragraph" w:styleId="NormalIndent">
    <w:name w:val="Normal Indent"/>
    <w:basedOn w:val="Normal"/>
    <w:next w:val="BodyText"/>
    <w:link w:val="Char4"/>
    <w:qFormat/>
    <w:pPr>
      <w:ind w:firstLine="420"/>
    </w:pPr>
    <w:rPr>
      <w:rFonts w:ascii="Times New Roman" w:hAnsi="Times New Roman"/>
      <w:kern w:val="0"/>
      <w:sz w:val="20"/>
      <w:szCs w:val="20"/>
    </w:rPr>
  </w:style>
  <w:style w:type="paragraph" w:styleId="BodyText">
    <w:name w:val="Body Text"/>
    <w:basedOn w:val="Normal"/>
    <w:next w:val="BodyText2"/>
    <w:link w:val="Char20"/>
    <w:qFormat/>
    <w:pPr>
      <w:spacing w:line="360" w:lineRule="auto"/>
    </w:pPr>
    <w:rPr>
      <w:rFonts w:ascii="Times New Roman" w:hAnsi="Times New Roman"/>
      <w:b/>
      <w:bCs/>
      <w:kern w:val="0"/>
      <w:sz w:val="24"/>
      <w:szCs w:val="24"/>
    </w:rPr>
  </w:style>
  <w:style w:type="paragraph" w:styleId="BodyText2">
    <w:name w:val="Body Text 2"/>
    <w:basedOn w:val="Normal"/>
    <w:link w:val="2Char11"/>
    <w:qFormat/>
    <w:pPr>
      <w:spacing w:line="360" w:lineRule="auto"/>
    </w:pPr>
    <w:rPr>
      <w:rFonts w:ascii="Times New Roman" w:hAnsi="Times New Roman"/>
      <w:kern w:val="0"/>
      <w:sz w:val="24"/>
      <w:szCs w:val="24"/>
    </w:rPr>
  </w:style>
  <w:style w:type="paragraph" w:styleId="TOC7">
    <w:name w:val="toc 7"/>
    <w:basedOn w:val="Normal"/>
    <w:next w:val="Normal"/>
    <w:semiHidden/>
    <w:qFormat/>
    <w:pPr>
      <w:ind w:left="1260"/>
      <w:jc w:val="left"/>
    </w:pPr>
    <w:rPr>
      <w:rFonts w:ascii="Times New Roman" w:hAnsi="Times New Roman"/>
      <w:szCs w:val="21"/>
    </w:rPr>
  </w:style>
  <w:style w:type="paragraph" w:styleId="Caption">
    <w:name w:val="caption"/>
    <w:basedOn w:val="Normal"/>
    <w:next w:val="Normal"/>
    <w:qFormat/>
    <w:pPr>
      <w:widowControl/>
      <w:spacing w:line="360" w:lineRule="auto"/>
      <w:ind w:firstLine="1940" w:firstLineChars="920"/>
      <w:jc w:val="left"/>
    </w:pPr>
    <w:rPr>
      <w:rFonts w:ascii="宋体" w:hAnsi="宋体"/>
      <w:b/>
      <w:bCs/>
      <w:kern w:val="0"/>
      <w:sz w:val="20"/>
      <w:szCs w:val="20"/>
    </w:rPr>
  </w:style>
  <w:style w:type="paragraph" w:styleId="ListBullet">
    <w:name w:val="List Bullet"/>
    <w:basedOn w:val="Normal"/>
    <w:qFormat/>
    <w:pPr>
      <w:tabs>
        <w:tab w:val="left" w:pos="360"/>
      </w:tabs>
      <w:ind w:left="360" w:hanging="360"/>
    </w:pPr>
    <w:rPr>
      <w:rFonts w:ascii="Times New Roman" w:hAnsi="Times New Roman"/>
      <w:szCs w:val="20"/>
    </w:rPr>
  </w:style>
  <w:style w:type="paragraph" w:styleId="DocumentMap">
    <w:name w:val="Document Map"/>
    <w:basedOn w:val="Normal"/>
    <w:link w:val="Char17"/>
    <w:semiHidden/>
    <w:qFormat/>
    <w:pPr>
      <w:shd w:val="clear" w:color="auto" w:fill="000080"/>
    </w:pPr>
    <w:rPr>
      <w:rFonts w:ascii="Times New Roman" w:hAnsi="Times New Roman"/>
      <w:kern w:val="0"/>
      <w:sz w:val="20"/>
      <w:szCs w:val="24"/>
    </w:rPr>
  </w:style>
  <w:style w:type="paragraph" w:styleId="CommentText">
    <w:name w:val="annotation text"/>
    <w:basedOn w:val="Normal"/>
    <w:link w:val="Char110"/>
    <w:qFormat/>
    <w:pPr>
      <w:autoSpaceDE w:val="0"/>
      <w:autoSpaceDN w:val="0"/>
      <w:adjustRightInd w:val="0"/>
      <w:jc w:val="left"/>
      <w:textAlignment w:val="baseline"/>
    </w:pPr>
    <w:rPr>
      <w:rFonts w:ascii="宋体" w:hAnsi="Times New Roman"/>
      <w:kern w:val="0"/>
      <w:sz w:val="34"/>
      <w:szCs w:val="20"/>
    </w:rPr>
  </w:style>
  <w:style w:type="paragraph" w:styleId="BodyText3">
    <w:name w:val="Body Text 3"/>
    <w:basedOn w:val="Normal"/>
    <w:link w:val="3Char10"/>
    <w:qFormat/>
    <w:pPr>
      <w:spacing w:after="120"/>
    </w:pPr>
    <w:rPr>
      <w:rFonts w:ascii="Times New Roman" w:hAnsi="Times New Roman"/>
      <w:kern w:val="0"/>
      <w:sz w:val="16"/>
      <w:szCs w:val="16"/>
    </w:rPr>
  </w:style>
  <w:style w:type="paragraph" w:styleId="BodyTextIndent">
    <w:name w:val="Body Text Indent"/>
    <w:basedOn w:val="Normal"/>
    <w:link w:val="Char19"/>
    <w:qFormat/>
    <w:pPr>
      <w:spacing w:line="360" w:lineRule="auto"/>
      <w:ind w:firstLine="420" w:firstLineChars="200"/>
    </w:pPr>
    <w:rPr>
      <w:rFonts w:ascii="Times New Roman" w:hAnsi="Times New Roman"/>
      <w:kern w:val="0"/>
      <w:sz w:val="20"/>
      <w:szCs w:val="24"/>
    </w:rPr>
  </w:style>
  <w:style w:type="paragraph" w:styleId="TOC5">
    <w:name w:val="toc 5"/>
    <w:basedOn w:val="Normal"/>
    <w:next w:val="Normal"/>
    <w:semiHidden/>
    <w:qFormat/>
    <w:pPr>
      <w:ind w:left="840"/>
      <w:jc w:val="left"/>
    </w:pPr>
    <w:rPr>
      <w:rFonts w:ascii="Times New Roman" w:hAnsi="Times New Roman"/>
      <w:szCs w:val="21"/>
    </w:rPr>
  </w:style>
  <w:style w:type="paragraph" w:styleId="TOC3">
    <w:name w:val="toc 3"/>
    <w:basedOn w:val="Normal"/>
    <w:next w:val="Normal"/>
    <w:semiHidden/>
    <w:qFormat/>
    <w:pPr>
      <w:ind w:left="420"/>
      <w:jc w:val="left"/>
    </w:pPr>
    <w:rPr>
      <w:rFonts w:ascii="Times New Roman" w:hAnsi="Times New Roman"/>
      <w:i/>
      <w:iCs/>
      <w:szCs w:val="24"/>
    </w:rPr>
  </w:style>
  <w:style w:type="paragraph" w:styleId="PlainText">
    <w:name w:val="Plain Text"/>
    <w:basedOn w:val="Normal"/>
    <w:link w:val="Char16"/>
    <w:qFormat/>
    <w:rPr>
      <w:rFonts w:ascii="宋体" w:hAnsi="Courier New"/>
      <w:kern w:val="0"/>
      <w:sz w:val="20"/>
      <w:szCs w:val="20"/>
    </w:rPr>
  </w:style>
  <w:style w:type="paragraph" w:styleId="TOC8">
    <w:name w:val="toc 8"/>
    <w:basedOn w:val="Normal"/>
    <w:next w:val="Normal"/>
    <w:semiHidden/>
    <w:qFormat/>
    <w:pPr>
      <w:ind w:left="1470"/>
      <w:jc w:val="left"/>
    </w:pPr>
    <w:rPr>
      <w:rFonts w:ascii="Times New Roman" w:hAnsi="Times New Roman"/>
      <w:szCs w:val="21"/>
    </w:rPr>
  </w:style>
  <w:style w:type="paragraph" w:styleId="Date">
    <w:name w:val="Date"/>
    <w:basedOn w:val="Normal"/>
    <w:next w:val="Normal"/>
    <w:link w:val="Char18"/>
    <w:qFormat/>
    <w:rPr>
      <w:rFonts w:ascii="宋体" w:hAnsi="Courier New"/>
      <w:kern w:val="0"/>
      <w:sz w:val="32"/>
      <w:szCs w:val="20"/>
    </w:rPr>
  </w:style>
  <w:style w:type="paragraph" w:styleId="BodyTextIndent2">
    <w:name w:val="Body Text Indent 2"/>
    <w:basedOn w:val="Normal"/>
    <w:link w:val="2Char10"/>
    <w:qFormat/>
    <w:pPr>
      <w:spacing w:beforeLines="50" w:afterLines="50" w:line="120" w:lineRule="auto"/>
      <w:ind w:firstLine="840" w:firstLineChars="400"/>
      <w:jc w:val="left"/>
    </w:pPr>
    <w:rPr>
      <w:rFonts w:ascii="宋体" w:hAnsi="宋体"/>
      <w:kern w:val="0"/>
      <w:sz w:val="20"/>
      <w:szCs w:val="24"/>
    </w:rPr>
  </w:style>
  <w:style w:type="paragraph" w:styleId="BalloonText">
    <w:name w:val="Balloon Text"/>
    <w:basedOn w:val="Normal"/>
    <w:link w:val="Char111"/>
    <w:uiPriority w:val="99"/>
    <w:qFormat/>
    <w:rPr>
      <w:rFonts w:ascii="Times New Roman" w:hAnsi="Times New Roman"/>
      <w:kern w:val="0"/>
      <w:sz w:val="18"/>
      <w:szCs w:val="18"/>
    </w:r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qFormat/>
    <w:pPr>
      <w:spacing w:before="120" w:after="120"/>
      <w:jc w:val="left"/>
    </w:pPr>
    <w:rPr>
      <w:rFonts w:ascii="Times New Roman" w:hAnsi="Times New Roman"/>
      <w:b/>
      <w:bCs/>
      <w:caps/>
      <w:szCs w:val="24"/>
    </w:rPr>
  </w:style>
  <w:style w:type="paragraph" w:styleId="TOC4">
    <w:name w:val="toc 4"/>
    <w:basedOn w:val="Normal"/>
    <w:next w:val="Normal"/>
    <w:semiHidden/>
    <w:qFormat/>
    <w:pPr>
      <w:ind w:left="630"/>
      <w:jc w:val="left"/>
    </w:pPr>
    <w:rPr>
      <w:rFonts w:ascii="Times New Roman" w:hAnsi="Times New Roman"/>
      <w:szCs w:val="21"/>
    </w:rPr>
  </w:style>
  <w:style w:type="paragraph" w:styleId="TOC6">
    <w:name w:val="toc 6"/>
    <w:basedOn w:val="Normal"/>
    <w:next w:val="Normal"/>
    <w:semiHidden/>
    <w:qFormat/>
    <w:pPr>
      <w:ind w:left="1050"/>
      <w:jc w:val="left"/>
    </w:pPr>
    <w:rPr>
      <w:rFonts w:ascii="Times New Roman" w:hAnsi="Times New Roman"/>
      <w:szCs w:val="21"/>
    </w:rPr>
  </w:style>
  <w:style w:type="paragraph" w:styleId="BodyTextIndent3">
    <w:name w:val="Body Text Indent 3"/>
    <w:basedOn w:val="Normal"/>
    <w:link w:val="3Char11"/>
    <w:qFormat/>
    <w:pPr>
      <w:spacing w:line="360" w:lineRule="auto"/>
      <w:ind w:firstLine="482" w:firstLineChars="200"/>
    </w:pPr>
    <w:rPr>
      <w:rFonts w:ascii="宋体" w:hAnsi="Times New Roman"/>
      <w:b/>
      <w:bCs/>
      <w:kern w:val="0"/>
      <w:sz w:val="24"/>
      <w:szCs w:val="24"/>
    </w:rPr>
  </w:style>
  <w:style w:type="paragraph" w:styleId="TOC2">
    <w:name w:val="toc 2"/>
    <w:basedOn w:val="Normal"/>
    <w:next w:val="Normal"/>
    <w:qFormat/>
    <w:pPr>
      <w:tabs>
        <w:tab w:val="right" w:leader="dot" w:pos="8296"/>
      </w:tabs>
      <w:ind w:left="210"/>
      <w:jc w:val="left"/>
    </w:pPr>
    <w:rPr>
      <w:rFonts w:ascii="Times New Roman" w:hAnsi="Times New Roman"/>
      <w:smallCaps/>
      <w:szCs w:val="24"/>
    </w:rPr>
  </w:style>
  <w:style w:type="paragraph" w:styleId="TOC9">
    <w:name w:val="toc 9"/>
    <w:basedOn w:val="Normal"/>
    <w:next w:val="Normal"/>
    <w:semiHidden/>
    <w:qFormat/>
    <w:pPr>
      <w:ind w:left="1680"/>
      <w:jc w:val="left"/>
    </w:pPr>
    <w:rPr>
      <w:rFonts w:ascii="Times New Roman" w:hAnsi="Times New Roman"/>
      <w:szCs w:val="21"/>
    </w:rPr>
  </w:style>
  <w:style w:type="paragraph" w:styleId="HTMLPreformatted">
    <w:name w:val="HTML Preformatted"/>
    <w:basedOn w:val="Normal"/>
    <w:link w:val="HTMLChar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NormalWeb">
    <w:name w:val="Normal (Web)"/>
    <w:basedOn w:val="Normal"/>
    <w:uiPriority w:val="99"/>
    <w:unhideWhenUsed/>
    <w:qFormat/>
    <w:pPr>
      <w:widowControl/>
      <w:spacing w:before="100" w:beforeAutospacing="1" w:after="100" w:afterAutospacing="1"/>
      <w:jc w:val="left"/>
    </w:pPr>
    <w:rPr>
      <w:rFonts w:ascii="宋体" w:hAnsi="宋体" w:cs="宋体"/>
      <w:kern w:val="0"/>
      <w:sz w:val="24"/>
      <w:szCs w:val="24"/>
    </w:rPr>
  </w:style>
  <w:style w:type="paragraph" w:styleId="Index1">
    <w:name w:val="index 1"/>
    <w:basedOn w:val="Normal"/>
    <w:next w:val="Normal"/>
    <w:semiHidden/>
    <w:qFormat/>
    <w:pPr>
      <w:tabs>
        <w:tab w:val="left" w:pos="3360"/>
      </w:tabs>
      <w:spacing w:line="520" w:lineRule="exact"/>
      <w:ind w:left="419" w:hanging="314" w:leftChars="50" w:hangingChars="131"/>
      <w:jc w:val="center"/>
      <w:outlineLvl w:val="3"/>
    </w:pPr>
    <w:rPr>
      <w:rFonts w:ascii="宋体" w:hAnsi="宋体"/>
      <w:sz w:val="24"/>
      <w:szCs w:val="24"/>
    </w:rPr>
  </w:style>
  <w:style w:type="paragraph" w:styleId="Title">
    <w:name w:val="Title"/>
    <w:basedOn w:val="Normal"/>
    <w:link w:val="Char112"/>
    <w:qFormat/>
    <w:pPr>
      <w:spacing w:before="240" w:after="60"/>
      <w:jc w:val="center"/>
      <w:outlineLvl w:val="0"/>
    </w:pPr>
    <w:rPr>
      <w:rFonts w:ascii="Arial" w:eastAsia="隶书" w:hAnsi="Arial"/>
      <w:b/>
      <w:bCs/>
      <w:kern w:val="0"/>
      <w:sz w:val="32"/>
      <w:szCs w:val="32"/>
    </w:rPr>
  </w:style>
  <w:style w:type="paragraph" w:styleId="CommentSubject">
    <w:name w:val="annotation subject"/>
    <w:basedOn w:val="CommentText"/>
    <w:next w:val="CommentText"/>
    <w:link w:val="Char113"/>
    <w:uiPriority w:val="99"/>
    <w:qFormat/>
    <w:pPr>
      <w:autoSpaceDE/>
      <w:autoSpaceDN/>
      <w:adjustRightInd/>
      <w:textAlignment w:val="auto"/>
    </w:pPr>
    <w:rPr>
      <w:rFonts w:ascii="Times New Roman"/>
      <w:b/>
      <w:bCs/>
      <w:szCs w:val="24"/>
    </w:rPr>
  </w:style>
  <w:style w:type="paragraph" w:styleId="BodyTextFirstIndent">
    <w:name w:val="Body Text First Indent"/>
    <w:basedOn w:val="BodyText"/>
    <w:link w:val="Char114"/>
    <w:qFormat/>
    <w:pPr>
      <w:spacing w:after="120" w:line="240" w:lineRule="auto"/>
      <w:ind w:firstLine="420" w:firstLineChars="100"/>
    </w:pPr>
    <w:rPr>
      <w:sz w:val="20"/>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800080"/>
      <w:u w:val="single"/>
    </w:rPr>
  </w:style>
  <w:style w:type="character" w:styleId="Emphasis">
    <w:name w:val="Emphasis"/>
    <w:basedOn w:val="DefaultParagraphFont"/>
    <w:uiPriority w:val="20"/>
    <w:qFormat/>
    <w:rPr>
      <w:b/>
      <w:bCs/>
    </w:rPr>
  </w:style>
  <w:style w:type="character" w:styleId="HTMLDefinition">
    <w:name w:val="HTML Definition"/>
    <w:basedOn w:val="DefaultParagraphFont"/>
    <w:uiPriority w:val="99"/>
    <w:semiHidden/>
    <w:unhideWhenUsed/>
    <w:qFormat/>
  </w:style>
  <w:style w:type="character" w:styleId="HTMLTypewriter">
    <w:name w:val="HTML Typewriter"/>
    <w:basedOn w:val="DefaultParagraphFont"/>
    <w:uiPriority w:val="99"/>
    <w:semiHidden/>
    <w:unhideWhenUsed/>
    <w:qFormat/>
    <w:rPr>
      <w:rFonts w:ascii="monospace" w:eastAsia="monospace" w:hAnsi="monospace" w:cs="monospace" w:hint="default"/>
      <w:sz w:val="20"/>
    </w:rPr>
  </w:style>
  <w:style w:type="character" w:styleId="HTMLAcronym">
    <w:name w:val="HTML Acronym"/>
    <w:basedOn w:val="DefaultParagraphFont"/>
    <w:uiPriority w:val="99"/>
    <w:semiHidden/>
    <w:unhideWhenUsed/>
    <w:qFormat/>
  </w:style>
  <w:style w:type="character" w:styleId="HTMLVariable">
    <w:name w:val="HTML Variable"/>
    <w:basedOn w:val="DefaultParagraphFont"/>
    <w:uiPriority w:val="99"/>
    <w:semiHidden/>
    <w:unhideWhenUsed/>
    <w:qFormat/>
  </w:style>
  <w:style w:type="character" w:styleId="Hyperlink">
    <w:name w:val="Hyperlink"/>
    <w:qFormat/>
    <w:rPr>
      <w:color w:val="0000FF"/>
      <w:u w:val="single"/>
    </w:rPr>
  </w:style>
  <w:style w:type="character" w:styleId="HTMLCode">
    <w:name w:val="HTML Code"/>
    <w:basedOn w:val="DefaultParagraphFont"/>
    <w:uiPriority w:val="99"/>
    <w:semiHidden/>
    <w:unhideWhenUsed/>
    <w:qFormat/>
    <w:rPr>
      <w:rFonts w:ascii="monospace" w:eastAsia="monospace" w:hAnsi="monospace" w:cs="monospace" w:hint="default"/>
      <w:sz w:val="20"/>
    </w:rPr>
  </w:style>
  <w:style w:type="character" w:styleId="CommentReference">
    <w:name w:val="annotation reference"/>
    <w:qFormat/>
    <w:rPr>
      <w:sz w:val="21"/>
      <w:szCs w:val="21"/>
    </w:rPr>
  </w:style>
  <w:style w:type="character" w:styleId="HTMLCite">
    <w:name w:val="HTML Cite"/>
    <w:basedOn w:val="DefaultParagraphFont"/>
    <w:uiPriority w:val="99"/>
    <w:semiHidden/>
    <w:unhideWhenUsed/>
    <w:qFormat/>
  </w:style>
  <w:style w:type="character" w:styleId="HTMLKeyboard">
    <w:name w:val="HTML Keyboard"/>
    <w:basedOn w:val="DefaultParagraphFont"/>
    <w:uiPriority w:val="99"/>
    <w:semiHidden/>
    <w:unhideWhenUsed/>
    <w:qFormat/>
    <w:rPr>
      <w:rFonts w:ascii="monospace" w:eastAsia="monospace" w:hAnsi="monospace" w:cs="monospace"/>
      <w:sz w:val="20"/>
    </w:rPr>
  </w:style>
  <w:style w:type="character" w:styleId="HTMLSample">
    <w:name w:val="HTML Sample"/>
    <w:basedOn w:val="DefaultParagraphFont"/>
    <w:uiPriority w:val="99"/>
    <w:semiHidden/>
    <w:unhideWhenUsed/>
    <w:qFormat/>
    <w:rPr>
      <w:rFonts w:ascii="monospace" w:eastAsia="monospace" w:hAnsi="monospace" w:cs="monospace" w:hint="default"/>
    </w:rPr>
  </w:style>
  <w:style w:type="character" w:customStyle="1" w:styleId="Char">
    <w:name w:val="页眉 Char"/>
    <w:basedOn w:val="DefaultParagraphFont"/>
    <w:link w:val="Header"/>
    <w:uiPriority w:val="99"/>
    <w:qFormat/>
    <w:rPr>
      <w:sz w:val="18"/>
      <w:szCs w:val="18"/>
    </w:rPr>
  </w:style>
  <w:style w:type="character" w:customStyle="1" w:styleId="Char0">
    <w:name w:val="页脚 Char"/>
    <w:basedOn w:val="DefaultParagraphFont"/>
    <w:link w:val="Footer"/>
    <w:uiPriority w:val="99"/>
    <w:qFormat/>
    <w:rPr>
      <w:sz w:val="18"/>
      <w:szCs w:val="18"/>
    </w:rPr>
  </w:style>
  <w:style w:type="character" w:customStyle="1" w:styleId="1Char">
    <w:name w:val="标题 1 Char"/>
    <w:basedOn w:val="DefaultParagraphFont"/>
    <w:link w:val="Heading1"/>
    <w:uiPriority w:val="9"/>
    <w:qFormat/>
    <w:rPr>
      <w:rFonts w:ascii="宋体" w:eastAsia="黑体" w:hAnsi="宋体" w:cs="Times New Roman"/>
      <w:b/>
      <w:bCs/>
      <w:kern w:val="44"/>
      <w:sz w:val="28"/>
      <w:szCs w:val="44"/>
    </w:rPr>
  </w:style>
  <w:style w:type="character" w:customStyle="1" w:styleId="2Char">
    <w:name w:val="标题 2 Char"/>
    <w:basedOn w:val="DefaultParagraphFont"/>
    <w:link w:val="Heading2"/>
    <w:qFormat/>
    <w:rPr>
      <w:rFonts w:ascii="宋体" w:eastAsia="宋体" w:hAnsi="宋体" w:cs="Times New Roman"/>
      <w:b/>
      <w:bCs/>
      <w:kern w:val="0"/>
      <w:sz w:val="24"/>
      <w:szCs w:val="20"/>
    </w:rPr>
  </w:style>
  <w:style w:type="character" w:customStyle="1" w:styleId="3Char">
    <w:name w:val="标题 3 Char"/>
    <w:basedOn w:val="DefaultParagraphFont"/>
    <w:link w:val="Heading3"/>
    <w:uiPriority w:val="9"/>
    <w:qFormat/>
    <w:rPr>
      <w:rFonts w:ascii="Calibri" w:eastAsia="宋体" w:hAnsi="Calibri" w:cs="Times New Roman"/>
      <w:b/>
      <w:bCs/>
      <w:sz w:val="32"/>
      <w:szCs w:val="32"/>
    </w:rPr>
  </w:style>
  <w:style w:type="character" w:customStyle="1" w:styleId="4Char">
    <w:name w:val="标题 4 Char"/>
    <w:basedOn w:val="DefaultParagraphFont"/>
    <w:link w:val="Heading4"/>
    <w:qFormat/>
    <w:rPr>
      <w:rFonts w:ascii="Arial" w:eastAsia="黑体" w:hAnsi="Arial" w:cs="Times New Roman"/>
      <w:b/>
      <w:bCs/>
      <w:kern w:val="0"/>
      <w:sz w:val="28"/>
      <w:szCs w:val="28"/>
    </w:rPr>
  </w:style>
  <w:style w:type="character" w:customStyle="1" w:styleId="5Char">
    <w:name w:val="标题 5 Char"/>
    <w:basedOn w:val="DefaultParagraphFont"/>
    <w:link w:val="Heading5"/>
    <w:qFormat/>
    <w:rPr>
      <w:rFonts w:ascii="Times New Roman" w:eastAsia="宋体" w:hAnsi="Times New Roman" w:cs="Times New Roman"/>
      <w:b/>
      <w:kern w:val="0"/>
      <w:sz w:val="28"/>
      <w:szCs w:val="20"/>
    </w:rPr>
  </w:style>
  <w:style w:type="character" w:customStyle="1" w:styleId="6Char">
    <w:name w:val="标题 6 Char"/>
    <w:basedOn w:val="DefaultParagraphFont"/>
    <w:link w:val="Heading6"/>
    <w:qFormat/>
    <w:rPr>
      <w:rFonts w:ascii="Arial" w:eastAsia="黑体" w:hAnsi="Arial" w:cs="Times New Roman"/>
      <w:b/>
      <w:kern w:val="0"/>
      <w:sz w:val="24"/>
      <w:szCs w:val="20"/>
    </w:rPr>
  </w:style>
  <w:style w:type="character" w:customStyle="1" w:styleId="7Char">
    <w:name w:val="标题 7 Char"/>
    <w:basedOn w:val="DefaultParagraphFont"/>
    <w:link w:val="Heading7"/>
    <w:qFormat/>
    <w:rPr>
      <w:rFonts w:ascii="Times New Roman" w:eastAsia="宋体" w:hAnsi="Times New Roman" w:cs="Times New Roman"/>
      <w:b/>
      <w:kern w:val="0"/>
      <w:sz w:val="24"/>
      <w:szCs w:val="20"/>
    </w:rPr>
  </w:style>
  <w:style w:type="character" w:customStyle="1" w:styleId="8Char">
    <w:name w:val="标题 8 Char"/>
    <w:basedOn w:val="DefaultParagraphFont"/>
    <w:link w:val="Heading8"/>
    <w:qFormat/>
    <w:rPr>
      <w:rFonts w:ascii="Arial" w:eastAsia="黑体" w:hAnsi="Arial" w:cs="Times New Roman"/>
      <w:kern w:val="0"/>
      <w:sz w:val="24"/>
      <w:szCs w:val="20"/>
    </w:rPr>
  </w:style>
  <w:style w:type="character" w:customStyle="1" w:styleId="9Char">
    <w:name w:val="标题 9 Char"/>
    <w:basedOn w:val="DefaultParagraphFont"/>
    <w:link w:val="Heading9"/>
    <w:qFormat/>
    <w:rPr>
      <w:rFonts w:ascii="Arial" w:eastAsia="黑体" w:hAnsi="Arial" w:cs="Times New Roman"/>
      <w:kern w:val="0"/>
      <w:sz w:val="20"/>
      <w:szCs w:val="20"/>
    </w:rPr>
  </w:style>
  <w:style w:type="character" w:customStyle="1" w:styleId="3Char1">
    <w:name w:val="标题 3 Char1"/>
    <w:link w:val="Heading3"/>
    <w:qFormat/>
    <w:rPr>
      <w:rFonts w:ascii="宋体" w:eastAsia="宋体" w:hAnsi="宋体" w:cs="Times New Roman"/>
      <w:b/>
      <w:bCs/>
      <w:kern w:val="0"/>
      <w:sz w:val="28"/>
      <w:szCs w:val="32"/>
    </w:rPr>
  </w:style>
  <w:style w:type="character" w:customStyle="1" w:styleId="--CharChar">
    <w:name w:val="--规划正文 Char Char"/>
    <w:qFormat/>
    <w:rPr>
      <w:rFonts w:eastAsia="宋体"/>
      <w:kern w:val="2"/>
      <w:sz w:val="24"/>
      <w:szCs w:val="24"/>
      <w:lang w:val="en-US" w:eastAsia="zh-CN" w:bidi="ar-SA"/>
    </w:rPr>
  </w:style>
  <w:style w:type="character" w:customStyle="1" w:styleId="grame">
    <w:name w:val="grame"/>
    <w:basedOn w:val="DefaultParagraphFont"/>
    <w:qFormat/>
  </w:style>
  <w:style w:type="character" w:customStyle="1" w:styleId="font">
    <w:name w:val="font"/>
    <w:basedOn w:val="DefaultParagraphFont"/>
    <w:qFormat/>
  </w:style>
  <w:style w:type="character" w:customStyle="1" w:styleId="font2">
    <w:name w:val="font2"/>
    <w:basedOn w:val="DefaultParagraphFont"/>
    <w:qFormat/>
  </w:style>
  <w:style w:type="character" w:customStyle="1" w:styleId="unnamed4">
    <w:name w:val="unnamed4"/>
    <w:basedOn w:val="DefaultParagraphFont"/>
    <w:qFormat/>
  </w:style>
  <w:style w:type="character" w:customStyle="1" w:styleId="a0">
    <w:name w:val="样式 小三 加粗"/>
    <w:qFormat/>
    <w:rPr>
      <w:rFonts w:eastAsia="宋体"/>
      <w:b/>
      <w:bCs/>
      <w:sz w:val="32"/>
    </w:rPr>
  </w:style>
  <w:style w:type="character" w:customStyle="1" w:styleId="z-Char">
    <w:name w:val="z-窗体顶端 Char"/>
    <w:basedOn w:val="DefaultParagraphFont"/>
    <w:qFormat/>
    <w:rPr>
      <w:rFonts w:ascii="Arial" w:eastAsia="宋体" w:hAnsi="Arial" w:cs="Times New Roman"/>
      <w:vanish/>
      <w:kern w:val="0"/>
      <w:sz w:val="16"/>
      <w:szCs w:val="16"/>
      <w:lang w:val="en-US" w:eastAsia="zh-CN"/>
    </w:rPr>
  </w:style>
  <w:style w:type="paragraph" w:customStyle="1" w:styleId="z-1">
    <w:name w:val="z-窗体顶端1"/>
    <w:basedOn w:val="Normal"/>
    <w:next w:val="Normal"/>
    <w:link w:val="z-Char1"/>
    <w:qFormat/>
    <w:pPr>
      <w:widowControl/>
      <w:pBdr>
        <w:bottom w:val="single" w:sz="6" w:space="1" w:color="auto"/>
      </w:pBdr>
      <w:jc w:val="center"/>
    </w:pPr>
    <w:rPr>
      <w:rFonts w:ascii="Arial" w:hAnsi="Arial"/>
      <w:vanish/>
      <w:kern w:val="0"/>
      <w:sz w:val="16"/>
      <w:szCs w:val="16"/>
    </w:rPr>
  </w:style>
  <w:style w:type="character" w:customStyle="1" w:styleId="Char1">
    <w:name w:val="批注文字 Char"/>
    <w:basedOn w:val="DefaultParagraphFont"/>
    <w:link w:val="CommentText"/>
    <w:qFormat/>
    <w:rPr>
      <w:rFonts w:ascii="宋体" w:eastAsia="宋体" w:hAnsi="Times New Roman" w:cs="Times New Roman"/>
      <w:kern w:val="0"/>
      <w:sz w:val="34"/>
      <w:szCs w:val="20"/>
    </w:rPr>
  </w:style>
  <w:style w:type="character" w:customStyle="1" w:styleId="Char2">
    <w:name w:val="标题 Char"/>
    <w:basedOn w:val="DefaultParagraphFont"/>
    <w:link w:val="Title"/>
    <w:qFormat/>
    <w:rPr>
      <w:rFonts w:ascii="Arial" w:eastAsia="隶书" w:hAnsi="Arial" w:cs="Times New Roman"/>
      <w:b/>
      <w:bCs/>
      <w:kern w:val="0"/>
      <w:sz w:val="32"/>
      <w:szCs w:val="32"/>
    </w:rPr>
  </w:style>
  <w:style w:type="character" w:customStyle="1" w:styleId="Char3">
    <w:name w:val="正文文本 Char"/>
    <w:basedOn w:val="DefaultParagraphFont"/>
    <w:uiPriority w:val="99"/>
    <w:semiHidden/>
    <w:qFormat/>
    <w:rPr>
      <w:rFonts w:ascii="Calibri" w:eastAsia="宋体" w:hAnsi="Calibri" w:cs="Times New Roman"/>
    </w:rPr>
  </w:style>
  <w:style w:type="character" w:customStyle="1" w:styleId="Char4">
    <w:name w:val="正文缩进 Char"/>
    <w:link w:val="NormalIndent"/>
    <w:qFormat/>
    <w:rPr>
      <w:rFonts w:ascii="Times New Roman" w:eastAsia="宋体" w:hAnsi="Times New Roman" w:cs="Times New Roman"/>
      <w:kern w:val="0"/>
      <w:sz w:val="20"/>
      <w:szCs w:val="20"/>
    </w:rPr>
  </w:style>
  <w:style w:type="character" w:customStyle="1" w:styleId="Char5">
    <w:name w:val="日期 Char"/>
    <w:basedOn w:val="DefaultParagraphFont"/>
    <w:link w:val="Date"/>
    <w:qFormat/>
    <w:rPr>
      <w:rFonts w:ascii="宋体" w:eastAsia="宋体" w:hAnsi="Courier New" w:cs="Times New Roman"/>
      <w:kern w:val="0"/>
      <w:sz w:val="32"/>
      <w:szCs w:val="20"/>
    </w:rPr>
  </w:style>
  <w:style w:type="character" w:customStyle="1" w:styleId="Char6">
    <w:name w:val="正文文字首行缩进 Char"/>
    <w:qFormat/>
    <w:rPr>
      <w:kern w:val="2"/>
      <w:sz w:val="21"/>
      <w:szCs w:val="24"/>
    </w:rPr>
  </w:style>
  <w:style w:type="character" w:customStyle="1" w:styleId="unnamed3">
    <w:name w:val="unnamed3"/>
    <w:basedOn w:val="DefaultParagraphFont"/>
    <w:qFormat/>
  </w:style>
  <w:style w:type="character" w:customStyle="1" w:styleId="Char7">
    <w:name w:val="批注主题 Char"/>
    <w:basedOn w:val="Char1"/>
    <w:link w:val="CommentSubject"/>
    <w:uiPriority w:val="99"/>
    <w:qFormat/>
    <w:rPr>
      <w:rFonts w:ascii="Times New Roman"/>
      <w:b/>
      <w:bCs/>
      <w:szCs w:val="24"/>
    </w:rPr>
  </w:style>
  <w:style w:type="character" w:customStyle="1" w:styleId="gray6">
    <w:name w:val="gray6"/>
    <w:basedOn w:val="DefaultParagraphFont"/>
    <w:qFormat/>
  </w:style>
  <w:style w:type="character" w:customStyle="1" w:styleId="Char8">
    <w:name w:val="纯文本 Char"/>
    <w:basedOn w:val="DefaultParagraphFont"/>
    <w:link w:val="PlainText"/>
    <w:qFormat/>
    <w:rPr>
      <w:rFonts w:ascii="宋体" w:eastAsia="宋体" w:hAnsi="Courier New" w:cs="Times New Roman"/>
      <w:kern w:val="0"/>
      <w:sz w:val="20"/>
      <w:szCs w:val="20"/>
    </w:rPr>
  </w:style>
  <w:style w:type="character" w:customStyle="1" w:styleId="Char9">
    <w:name w:val="正文文本缩进 Char"/>
    <w:basedOn w:val="DefaultParagraphFont"/>
    <w:link w:val="BodyTextIndent"/>
    <w:qFormat/>
    <w:rPr>
      <w:rFonts w:ascii="Times New Roman" w:eastAsia="宋体" w:hAnsi="Times New Roman" w:cs="Times New Roman"/>
      <w:kern w:val="0"/>
      <w:sz w:val="20"/>
      <w:szCs w:val="24"/>
    </w:rPr>
  </w:style>
  <w:style w:type="character" w:customStyle="1" w:styleId="2Char0">
    <w:name w:val="正文文本 2 Char"/>
    <w:basedOn w:val="DefaultParagraphFont"/>
    <w:link w:val="BodyText2"/>
    <w:qFormat/>
    <w:rPr>
      <w:rFonts w:ascii="Times New Roman" w:eastAsia="宋体" w:hAnsi="Times New Roman" w:cs="Times New Roman"/>
      <w:kern w:val="0"/>
      <w:sz w:val="24"/>
      <w:szCs w:val="24"/>
    </w:rPr>
  </w:style>
  <w:style w:type="character" w:customStyle="1" w:styleId="3CharChar">
    <w:name w:val="标题 3 Char Char"/>
    <w:qFormat/>
    <w:rPr>
      <w:rFonts w:eastAsia="宋体"/>
      <w:b/>
      <w:bCs/>
      <w:kern w:val="2"/>
      <w:sz w:val="32"/>
      <w:szCs w:val="32"/>
      <w:lang w:val="en-US" w:eastAsia="zh-CN" w:bidi="ar-SA"/>
    </w:rPr>
  </w:style>
  <w:style w:type="character" w:customStyle="1" w:styleId="--Char1">
    <w:name w:val="--规划正文 Char1"/>
    <w:qFormat/>
    <w:rPr>
      <w:rFonts w:eastAsia="宋体"/>
      <w:kern w:val="2"/>
      <w:sz w:val="21"/>
      <w:lang w:val="en-US" w:eastAsia="zh-CN" w:bidi="ar-SA"/>
    </w:rPr>
  </w:style>
  <w:style w:type="character" w:customStyle="1" w:styleId="Char10">
    <w:name w:val="正文首行缩进 Char"/>
    <w:basedOn w:val="Char3"/>
    <w:link w:val="BodyTextFirstIndent"/>
    <w:qFormat/>
    <w:rPr>
      <w:rFonts w:ascii="Times New Roman" w:hAnsi="Times New Roman"/>
      <w:b/>
      <w:bCs/>
      <w:kern w:val="0"/>
      <w:sz w:val="20"/>
      <w:szCs w:val="24"/>
      <w:lang w:val="en-US" w:eastAsia="zh-CN"/>
    </w:rPr>
  </w:style>
  <w:style w:type="character" w:customStyle="1" w:styleId="z-Char0">
    <w:name w:val="z-窗体底端 Char"/>
    <w:basedOn w:val="DefaultParagraphFont"/>
    <w:qFormat/>
    <w:rPr>
      <w:rFonts w:ascii="Arial" w:eastAsia="宋体" w:hAnsi="Arial" w:cs="Times New Roman"/>
      <w:vanish/>
      <w:kern w:val="0"/>
      <w:sz w:val="16"/>
      <w:szCs w:val="16"/>
      <w:lang w:val="en-US" w:eastAsia="zh-CN"/>
    </w:rPr>
  </w:style>
  <w:style w:type="paragraph" w:customStyle="1" w:styleId="z-10">
    <w:name w:val="z-窗体底端1"/>
    <w:basedOn w:val="Normal"/>
    <w:next w:val="Normal"/>
    <w:link w:val="z-Char10"/>
    <w:qFormat/>
    <w:pPr>
      <w:widowControl/>
      <w:pBdr>
        <w:top w:val="single" w:sz="6" w:space="1" w:color="auto"/>
      </w:pBdr>
      <w:jc w:val="center"/>
    </w:pPr>
    <w:rPr>
      <w:rFonts w:ascii="Arial" w:hAnsi="Arial"/>
      <w:vanish/>
      <w:kern w:val="0"/>
      <w:sz w:val="16"/>
      <w:szCs w:val="16"/>
    </w:rPr>
  </w:style>
  <w:style w:type="character" w:customStyle="1" w:styleId="HTMLChar">
    <w:name w:val="HTML 预设格式 Char"/>
    <w:basedOn w:val="DefaultParagraphFont"/>
    <w:link w:val="HTMLPreformatted"/>
    <w:qFormat/>
    <w:rPr>
      <w:rFonts w:ascii="Arial Unicode MS" w:eastAsia="Arial Unicode MS" w:hAnsi="Arial Unicode MS" w:cs="Times New Roman"/>
      <w:color w:val="000000"/>
      <w:kern w:val="0"/>
      <w:sz w:val="20"/>
      <w:szCs w:val="20"/>
    </w:rPr>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Char11">
    <w:name w:val="正文文本 Char1"/>
    <w:link w:val="BodyText"/>
    <w:qFormat/>
    <w:rPr>
      <w:rFonts w:ascii="Times New Roman" w:eastAsia="宋体" w:hAnsi="Times New Roman" w:cs="Times New Roman"/>
      <w:b/>
      <w:bCs/>
      <w:kern w:val="0"/>
      <w:sz w:val="24"/>
      <w:szCs w:val="24"/>
    </w:rPr>
  </w:style>
  <w:style w:type="character" w:customStyle="1" w:styleId="bodytextChar1">
    <w:name w:val="body text Char1"/>
    <w:qFormat/>
    <w:rPr>
      <w:rFonts w:eastAsia="宋体"/>
      <w:kern w:val="2"/>
      <w:sz w:val="21"/>
      <w:lang w:val="en-US" w:eastAsia="zh-CN" w:bidi="ar-SA"/>
    </w:rPr>
  </w:style>
  <w:style w:type="character" w:customStyle="1" w:styleId="Char12">
    <w:name w:val="文档结构图 Char"/>
    <w:basedOn w:val="DefaultParagraphFont"/>
    <w:link w:val="DocumentMap"/>
    <w:semiHidden/>
    <w:qFormat/>
    <w:rPr>
      <w:rFonts w:ascii="Times New Roman" w:eastAsia="宋体" w:hAnsi="Times New Roman" w:cs="Times New Roman"/>
      <w:kern w:val="0"/>
      <w:sz w:val="20"/>
      <w:szCs w:val="24"/>
      <w:shd w:val="clear" w:color="auto" w:fill="000080"/>
    </w:rPr>
  </w:style>
  <w:style w:type="character" w:customStyle="1" w:styleId="3Char0">
    <w:name w:val="正文文本 3 Char"/>
    <w:basedOn w:val="DefaultParagraphFont"/>
    <w:link w:val="BodyText3"/>
    <w:qFormat/>
    <w:rPr>
      <w:rFonts w:ascii="Times New Roman" w:eastAsia="宋体" w:hAnsi="Times New Roman" w:cs="Times New Roman"/>
      <w:kern w:val="0"/>
      <w:sz w:val="16"/>
      <w:szCs w:val="16"/>
    </w:rPr>
  </w:style>
  <w:style w:type="character" w:customStyle="1" w:styleId="blue">
    <w:name w:val="blue"/>
    <w:basedOn w:val="DefaultParagraphFont"/>
    <w:qFormat/>
  </w:style>
  <w:style w:type="character" w:customStyle="1" w:styleId="proddescription">
    <w:name w:val="proddescription"/>
    <w:basedOn w:val="DefaultParagraphFont"/>
    <w:qFormat/>
  </w:style>
  <w:style w:type="character" w:customStyle="1" w:styleId="Char13">
    <w:name w:val="缩进正文 Char"/>
    <w:link w:val="a1"/>
    <w:qFormat/>
    <w:rPr>
      <w:rFonts w:ascii="Times New Roman" w:eastAsia="仿宋_GB2312" w:hAnsi="Times New Roman" w:cs="Times New Roman"/>
      <w:kern w:val="0"/>
      <w:sz w:val="28"/>
      <w:szCs w:val="20"/>
    </w:rPr>
  </w:style>
  <w:style w:type="paragraph" w:customStyle="1" w:styleId="a1">
    <w:name w:val="缩进正文"/>
    <w:basedOn w:val="Normal"/>
    <w:link w:val="Char13"/>
    <w:qFormat/>
    <w:pPr>
      <w:ind w:firstLine="560" w:firstLineChars="200"/>
    </w:pPr>
    <w:rPr>
      <w:rFonts w:ascii="Times New Roman" w:eastAsia="仿宋_GB2312" w:hAnsi="Times New Roman"/>
      <w:kern w:val="0"/>
      <w:sz w:val="28"/>
      <w:szCs w:val="20"/>
    </w:rPr>
  </w:style>
  <w:style w:type="character" w:customStyle="1" w:styleId="style9">
    <w:name w:val="style9"/>
    <w:basedOn w:val="DefaultParagraphFont"/>
    <w:qFormat/>
  </w:style>
  <w:style w:type="character" w:customStyle="1" w:styleId="prodheadlines">
    <w:name w:val="prodheadlines"/>
    <w:basedOn w:val="DefaultParagraphFont"/>
    <w:qFormat/>
  </w:style>
  <w:style w:type="character" w:customStyle="1" w:styleId="content1">
    <w:name w:val="content1"/>
    <w:qFormat/>
    <w:rPr>
      <w:rFonts w:ascii="??" w:hAnsi="??" w:hint="default"/>
      <w:sz w:val="16"/>
      <w:szCs w:val="16"/>
      <w:u w:val="none"/>
    </w:rPr>
  </w:style>
  <w:style w:type="character" w:customStyle="1" w:styleId="3Char2">
    <w:name w:val="正文文本缩进 3 Char"/>
    <w:basedOn w:val="DefaultParagraphFont"/>
    <w:link w:val="BodyTextIndent3"/>
    <w:qFormat/>
    <w:rPr>
      <w:rFonts w:ascii="宋体" w:eastAsia="宋体" w:hAnsi="Times New Roman" w:cs="Times New Roman"/>
      <w:b/>
      <w:bCs/>
      <w:kern w:val="0"/>
      <w:sz w:val="24"/>
      <w:szCs w:val="24"/>
    </w:rPr>
  </w:style>
  <w:style w:type="character" w:customStyle="1" w:styleId="1Char0">
    <w:name w:val="章标题1 Char"/>
    <w:qFormat/>
    <w:rPr>
      <w:rFonts w:eastAsia="宋体"/>
      <w:b/>
      <w:bCs/>
      <w:kern w:val="2"/>
      <w:sz w:val="32"/>
      <w:szCs w:val="32"/>
      <w:lang w:val="en-US" w:eastAsia="zh-CN" w:bidi="ar-SA"/>
    </w:rPr>
  </w:style>
  <w:style w:type="character" w:customStyle="1" w:styleId="font41">
    <w:name w:val="font41"/>
    <w:qFormat/>
    <w:rPr>
      <w:color w:val="000000"/>
      <w:spacing w:val="260"/>
      <w:sz w:val="18"/>
      <w:szCs w:val="18"/>
      <w:u w:val="none"/>
    </w:rPr>
  </w:style>
  <w:style w:type="character" w:customStyle="1" w:styleId="alt-edited1">
    <w:name w:val="alt-edited1"/>
    <w:qFormat/>
    <w:rPr>
      <w:color w:val="4D90F0"/>
    </w:rPr>
  </w:style>
  <w:style w:type="character" w:customStyle="1" w:styleId="info4">
    <w:name w:val="info4"/>
    <w:basedOn w:val="DefaultParagraphFont"/>
    <w:qFormat/>
  </w:style>
  <w:style w:type="character" w:customStyle="1" w:styleId="Char14">
    <w:name w:val="第*章 Char"/>
    <w:qFormat/>
    <w:rPr>
      <w:rFonts w:ascii="Arial" w:eastAsia="黑体" w:hAnsi="Arial"/>
      <w:b/>
      <w:bCs/>
      <w:kern w:val="2"/>
      <w:sz w:val="32"/>
      <w:szCs w:val="32"/>
    </w:rPr>
  </w:style>
  <w:style w:type="character" w:customStyle="1" w:styleId="text">
    <w:name w:val="text"/>
    <w:basedOn w:val="DefaultParagraphFont"/>
    <w:qFormat/>
  </w:style>
  <w:style w:type="character" w:customStyle="1" w:styleId="2Char1">
    <w:name w:val="正文文本缩进 2 Char"/>
    <w:basedOn w:val="DefaultParagraphFont"/>
    <w:link w:val="BodyTextIndent2"/>
    <w:qFormat/>
    <w:rPr>
      <w:rFonts w:ascii="宋体" w:eastAsia="宋体" w:hAnsi="宋体" w:cs="Times New Roman"/>
      <w:kern w:val="0"/>
      <w:sz w:val="20"/>
      <w:szCs w:val="24"/>
    </w:rPr>
  </w:style>
  <w:style w:type="character" w:customStyle="1" w:styleId="font11">
    <w:name w:val="font11"/>
    <w:qFormat/>
    <w:rPr>
      <w:rFonts w:ascii="ˎ̥" w:hAnsi="ˎ̥" w:hint="default"/>
    </w:rPr>
  </w:style>
  <w:style w:type="character" w:customStyle="1" w:styleId="Char15">
    <w:name w:val="批注框文本 Char"/>
    <w:basedOn w:val="DefaultParagraphFont"/>
    <w:link w:val="BalloonText"/>
    <w:uiPriority w:val="99"/>
    <w:qFormat/>
    <w:rPr>
      <w:rFonts w:ascii="Times New Roman" w:eastAsia="宋体" w:hAnsi="Times New Roman" w:cs="Times New Roman"/>
      <w:kern w:val="0"/>
      <w:sz w:val="18"/>
      <w:szCs w:val="18"/>
    </w:rPr>
  </w:style>
  <w:style w:type="character" w:customStyle="1" w:styleId="mode">
    <w:name w:val="mode"/>
    <w:basedOn w:val="DefaultParagraphFont"/>
    <w:qFormat/>
  </w:style>
  <w:style w:type="character" w:customStyle="1" w:styleId="3Char10">
    <w:name w:val="正文文本 3 Char1"/>
    <w:basedOn w:val="DefaultParagraphFont"/>
    <w:link w:val="BodyText3"/>
    <w:uiPriority w:val="99"/>
    <w:semiHidden/>
    <w:qFormat/>
    <w:rPr>
      <w:rFonts w:ascii="Calibri" w:eastAsia="宋体" w:hAnsi="Calibri" w:cs="Times New Roman"/>
      <w:sz w:val="16"/>
      <w:szCs w:val="16"/>
    </w:rPr>
  </w:style>
  <w:style w:type="character" w:customStyle="1" w:styleId="Char16">
    <w:name w:val="纯文本 Char1"/>
    <w:basedOn w:val="DefaultParagraphFont"/>
    <w:link w:val="PlainText"/>
    <w:uiPriority w:val="99"/>
    <w:semiHidden/>
    <w:qFormat/>
    <w:rPr>
      <w:rFonts w:ascii="宋体" w:eastAsia="宋体" w:hAnsi="Courier New" w:cs="Courier New"/>
      <w:szCs w:val="21"/>
    </w:rPr>
  </w:style>
  <w:style w:type="character" w:customStyle="1" w:styleId="Char17">
    <w:name w:val="文档结构图 Char1"/>
    <w:basedOn w:val="DefaultParagraphFont"/>
    <w:link w:val="DocumentMap"/>
    <w:uiPriority w:val="99"/>
    <w:semiHidden/>
    <w:qFormat/>
    <w:rPr>
      <w:rFonts w:ascii="宋体" w:eastAsia="宋体" w:hAnsi="Calibri" w:cs="Times New Roman"/>
      <w:sz w:val="18"/>
      <w:szCs w:val="18"/>
    </w:rPr>
  </w:style>
  <w:style w:type="character" w:customStyle="1" w:styleId="Char18">
    <w:name w:val="日期 Char1"/>
    <w:basedOn w:val="DefaultParagraphFont"/>
    <w:link w:val="Date"/>
    <w:uiPriority w:val="99"/>
    <w:semiHidden/>
    <w:qFormat/>
    <w:rPr>
      <w:rFonts w:ascii="Calibri" w:eastAsia="宋体" w:hAnsi="Calibri" w:cs="Times New Roman"/>
    </w:rPr>
  </w:style>
  <w:style w:type="character" w:customStyle="1" w:styleId="Char20">
    <w:name w:val="正文文本 Char2"/>
    <w:basedOn w:val="DefaultParagraphFont"/>
    <w:link w:val="BodyText"/>
    <w:uiPriority w:val="99"/>
    <w:semiHidden/>
    <w:qFormat/>
    <w:rPr>
      <w:rFonts w:ascii="Calibri" w:eastAsia="宋体" w:hAnsi="Calibri" w:cs="Times New Roman"/>
    </w:rPr>
  </w:style>
  <w:style w:type="character" w:customStyle="1" w:styleId="Char19">
    <w:name w:val="正文文本缩进 Char1"/>
    <w:basedOn w:val="DefaultParagraphFont"/>
    <w:link w:val="BodyTextIndent"/>
    <w:uiPriority w:val="99"/>
    <w:semiHidden/>
    <w:qFormat/>
    <w:rPr>
      <w:rFonts w:ascii="Calibri" w:eastAsia="宋体" w:hAnsi="Calibri" w:cs="Times New Roman"/>
    </w:rPr>
  </w:style>
  <w:style w:type="character" w:customStyle="1" w:styleId="Char110">
    <w:name w:val="批注文字 Char1"/>
    <w:basedOn w:val="DefaultParagraphFont"/>
    <w:link w:val="CommentText"/>
    <w:uiPriority w:val="99"/>
    <w:semiHidden/>
    <w:qFormat/>
    <w:rPr>
      <w:rFonts w:ascii="Calibri" w:eastAsia="宋体" w:hAnsi="Calibri" w:cs="Times New Roman"/>
    </w:rPr>
  </w:style>
  <w:style w:type="character" w:customStyle="1" w:styleId="HTMLChar1">
    <w:name w:val="HTML 预设格式 Char1"/>
    <w:basedOn w:val="DefaultParagraphFont"/>
    <w:link w:val="HTMLPreformatted"/>
    <w:uiPriority w:val="99"/>
    <w:semiHidden/>
    <w:qFormat/>
    <w:rPr>
      <w:rFonts w:ascii="Courier New" w:eastAsia="宋体" w:hAnsi="Courier New" w:cs="Courier New"/>
      <w:sz w:val="20"/>
      <w:szCs w:val="20"/>
    </w:rPr>
  </w:style>
  <w:style w:type="character" w:customStyle="1" w:styleId="2Char10">
    <w:name w:val="正文文本缩进 2 Char1"/>
    <w:basedOn w:val="DefaultParagraphFont"/>
    <w:link w:val="BodyTextIndent2"/>
    <w:uiPriority w:val="99"/>
    <w:semiHidden/>
    <w:qFormat/>
    <w:rPr>
      <w:rFonts w:ascii="Calibri" w:eastAsia="宋体" w:hAnsi="Calibri" w:cs="Times New Roman"/>
    </w:rPr>
  </w:style>
  <w:style w:type="character" w:customStyle="1" w:styleId="2Char11">
    <w:name w:val="正文文本 2 Char1"/>
    <w:basedOn w:val="DefaultParagraphFont"/>
    <w:link w:val="BodyText2"/>
    <w:uiPriority w:val="99"/>
    <w:semiHidden/>
    <w:qFormat/>
    <w:rPr>
      <w:rFonts w:ascii="Calibri" w:eastAsia="宋体" w:hAnsi="Calibri" w:cs="Times New Roman"/>
    </w:rPr>
  </w:style>
  <w:style w:type="character" w:customStyle="1" w:styleId="Char111">
    <w:name w:val="批注框文本 Char1"/>
    <w:basedOn w:val="DefaultParagraphFont"/>
    <w:link w:val="BalloonText"/>
    <w:uiPriority w:val="99"/>
    <w:semiHidden/>
    <w:qFormat/>
    <w:rPr>
      <w:rFonts w:ascii="Calibri" w:eastAsia="宋体" w:hAnsi="Calibri" w:cs="Times New Roman"/>
      <w:sz w:val="18"/>
      <w:szCs w:val="18"/>
    </w:rPr>
  </w:style>
  <w:style w:type="character" w:customStyle="1" w:styleId="3Char11">
    <w:name w:val="正文文本缩进 3 Char1"/>
    <w:basedOn w:val="DefaultParagraphFont"/>
    <w:link w:val="BodyTextIndent3"/>
    <w:uiPriority w:val="99"/>
    <w:semiHidden/>
    <w:qFormat/>
    <w:rPr>
      <w:rFonts w:ascii="Calibri" w:eastAsia="宋体" w:hAnsi="Calibri" w:cs="Times New Roman"/>
      <w:sz w:val="16"/>
      <w:szCs w:val="16"/>
    </w:rPr>
  </w:style>
  <w:style w:type="character" w:customStyle="1" w:styleId="Char112">
    <w:name w:val="标题 Char1"/>
    <w:basedOn w:val="DefaultParagraphFont"/>
    <w:link w:val="Title"/>
    <w:uiPriority w:val="10"/>
    <w:qFormat/>
    <w:rPr>
      <w:rFonts w:eastAsia="宋体" w:asciiTheme="majorHAnsi" w:hAnsiTheme="majorHAnsi" w:cstheme="majorBidi"/>
      <w:b/>
      <w:bCs/>
      <w:sz w:val="32"/>
      <w:szCs w:val="32"/>
    </w:rPr>
  </w:style>
  <w:style w:type="character" w:customStyle="1" w:styleId="Char113">
    <w:name w:val="批注主题 Char1"/>
    <w:basedOn w:val="Char110"/>
    <w:link w:val="CommentSubject"/>
    <w:uiPriority w:val="99"/>
    <w:semiHidden/>
    <w:qFormat/>
    <w:rPr>
      <w:b/>
      <w:bCs/>
    </w:rPr>
  </w:style>
  <w:style w:type="character" w:customStyle="1" w:styleId="Char114">
    <w:name w:val="正文首行缩进 Char1"/>
    <w:basedOn w:val="Char20"/>
    <w:link w:val="BodyTextFirstIndent"/>
    <w:uiPriority w:val="99"/>
    <w:semiHidden/>
    <w:qFormat/>
  </w:style>
  <w:style w:type="paragraph" w:customStyle="1" w:styleId="xl34">
    <w:name w:val="xl34"/>
    <w:basedOn w:val="Normal"/>
    <w:qFormat/>
    <w:pPr>
      <w:widowControl/>
      <w:pBdr>
        <w:lef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1">
    <w:name w:val="编号1"/>
    <w:basedOn w:val="Normal"/>
    <w:qFormat/>
    <w:pPr>
      <w:tabs>
        <w:tab w:val="left" w:pos="360"/>
      </w:tabs>
      <w:adjustRightInd w:val="0"/>
      <w:spacing w:line="300" w:lineRule="auto"/>
      <w:ind w:left="360" w:right="210" w:hanging="360"/>
      <w:textAlignment w:val="center"/>
    </w:pPr>
    <w:rPr>
      <w:rFonts w:ascii="宋体" w:hAnsi="宋体"/>
      <w:snapToGrid w:val="0"/>
      <w:spacing w:val="10"/>
      <w:kern w:val="24"/>
      <w:szCs w:val="24"/>
    </w:rPr>
  </w:style>
  <w:style w:type="paragraph" w:customStyle="1" w:styleId="--">
    <w:name w:val="--规划正文"/>
    <w:basedOn w:val="Normal"/>
    <w:qFormat/>
    <w:pPr>
      <w:spacing w:line="360" w:lineRule="auto"/>
      <w:ind w:firstLine="200" w:firstLineChars="200"/>
    </w:pPr>
    <w:rPr>
      <w:rFonts w:ascii="Times New Roman" w:hAnsi="Times New Roman"/>
      <w:szCs w:val="20"/>
    </w:rPr>
  </w:style>
  <w:style w:type="paragraph" w:customStyle="1" w:styleId="a2">
    <w:name w:val="产品描述"/>
    <w:qFormat/>
    <w:pPr>
      <w:widowControl w:val="0"/>
      <w:autoSpaceDE w:val="0"/>
      <w:autoSpaceDN w:val="0"/>
      <w:adjustRightInd w:val="0"/>
      <w:spacing w:line="270" w:lineRule="atLeast"/>
      <w:ind w:firstLine="397"/>
      <w:jc w:val="both"/>
    </w:pPr>
    <w:rPr>
      <w:rFonts w:ascii="宋体" w:eastAsia="宋体" w:hAnsi="Times New Roman" w:cs="Times New Roman"/>
      <w:sz w:val="18"/>
      <w:szCs w:val="18"/>
      <w:lang w:val="en-US" w:eastAsia="zh-CN" w:bidi="ar-SA"/>
    </w:rPr>
  </w:style>
  <w:style w:type="paragraph" w:customStyle="1" w:styleId="Char21">
    <w:name w:val="Char"/>
    <w:basedOn w:val="Normal"/>
    <w:qFormat/>
    <w:pPr>
      <w:widowControl/>
      <w:spacing w:after="160" w:line="240" w:lineRule="exact"/>
      <w:jc w:val="left"/>
    </w:pPr>
    <w:rPr>
      <w:rFonts w:ascii="Verdana" w:eastAsia="仿宋_GB2312" w:hAnsi="Verdana"/>
      <w:kern w:val="0"/>
      <w:sz w:val="24"/>
      <w:szCs w:val="20"/>
      <w:lang w:eastAsia="en-US"/>
    </w:rPr>
  </w:style>
  <w:style w:type="paragraph" w:customStyle="1" w:styleId="Char22">
    <w:name w:val="Char2"/>
    <w:basedOn w:val="Normal"/>
    <w:qFormat/>
    <w:pPr>
      <w:widowControl/>
      <w:spacing w:after="160" w:line="240" w:lineRule="exact"/>
      <w:jc w:val="left"/>
    </w:pPr>
    <w:rPr>
      <w:rFonts w:ascii="Verdana" w:eastAsia="仿宋_GB2312" w:hAnsi="Verdana"/>
      <w:kern w:val="0"/>
      <w:sz w:val="24"/>
      <w:szCs w:val="20"/>
      <w:lang w:eastAsia="en-US"/>
    </w:rPr>
  </w:style>
  <w:style w:type="paragraph" w:customStyle="1" w:styleId="9">
    <w:name w:val="9"/>
    <w:basedOn w:val="Normal"/>
    <w:next w:val="NormalIndent"/>
    <w:qFormat/>
    <w:pPr>
      <w:autoSpaceDE w:val="0"/>
      <w:autoSpaceDN w:val="0"/>
      <w:adjustRightInd w:val="0"/>
      <w:ind w:firstLine="420"/>
      <w:jc w:val="left"/>
      <w:textAlignment w:val="baseline"/>
    </w:pPr>
    <w:rPr>
      <w:rFonts w:ascii="宋体" w:hAnsi="Times New Roman"/>
      <w:kern w:val="0"/>
      <w:sz w:val="34"/>
      <w:szCs w:val="20"/>
    </w:rPr>
  </w:style>
  <w:style w:type="paragraph" w:customStyle="1" w:styleId="00">
    <w:name w:val="00"/>
    <w:basedOn w:val="Normal"/>
    <w:qFormat/>
    <w:pPr>
      <w:autoSpaceDE w:val="0"/>
      <w:autoSpaceDN w:val="0"/>
      <w:adjustRightInd w:val="0"/>
      <w:jc w:val="left"/>
    </w:pPr>
    <w:rPr>
      <w:rFonts w:ascii="黑体" w:eastAsia="黑体" w:hAnsi="Times New Roman"/>
      <w:b/>
      <w:bCs/>
      <w:kern w:val="0"/>
      <w:sz w:val="20"/>
      <w:szCs w:val="20"/>
    </w:rPr>
  </w:style>
  <w:style w:type="paragraph" w:customStyle="1" w:styleId="cont">
    <w:name w:val="cont"/>
    <w:basedOn w:val="Normal"/>
    <w:qFormat/>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blue1">
    <w:name w:val="blue1"/>
    <w:basedOn w:val="Normal"/>
    <w:qFormat/>
    <w:pPr>
      <w:widowControl/>
      <w:spacing w:before="100" w:beforeAutospacing="1" w:after="100" w:afterAutospacing="1"/>
      <w:jc w:val="left"/>
    </w:pPr>
    <w:rPr>
      <w:rFonts w:ascii="宋体" w:hAnsi="宋体" w:cs="宋体"/>
      <w:kern w:val="0"/>
      <w:sz w:val="24"/>
      <w:szCs w:val="24"/>
    </w:rPr>
  </w:style>
  <w:style w:type="paragraph" w:customStyle="1" w:styleId="word">
    <w:name w:val="word"/>
    <w:basedOn w:val="Normal"/>
    <w:qFormat/>
    <w:pPr>
      <w:widowControl/>
      <w:spacing w:before="100" w:beforeAutospacing="1" w:after="100" w:afterAutospacing="1" w:line="301" w:lineRule="atLeast"/>
      <w:jc w:val="left"/>
    </w:pPr>
    <w:rPr>
      <w:rFonts w:ascii="ˎ̥" w:hAnsi="ˎ̥"/>
      <w:color w:val="000000"/>
      <w:kern w:val="0"/>
      <w:sz w:val="20"/>
      <w:szCs w:val="20"/>
    </w:rPr>
  </w:style>
  <w:style w:type="paragraph" w:customStyle="1" w:styleId="21313">
    <w:name w:val="样式 标题 2 + 段前: 13 磅 段后: 13 磅 行距: 单倍行距"/>
    <w:basedOn w:val="Heading2"/>
    <w:qFormat/>
    <w:pPr>
      <w:adjustRightInd/>
      <w:spacing w:before="0" w:after="0"/>
      <w:jc w:val="both"/>
      <w:textAlignment w:val="auto"/>
    </w:pPr>
    <w:rPr>
      <w:rFonts w:ascii="Cambria" w:hAnsi="Cambria" w:cs="宋体"/>
      <w:sz w:val="32"/>
    </w:rPr>
  </w:style>
  <w:style w:type="paragraph" w:customStyle="1" w:styleId="RFItextfrom3rdLevel">
    <w:name w:val="RFI text from 3rd Level"/>
    <w:basedOn w:val="Normal"/>
    <w:qFormat/>
    <w:pPr>
      <w:widowControl/>
      <w:tabs>
        <w:tab w:val="left" w:pos="1080"/>
      </w:tabs>
      <w:spacing w:beforeLines="50" w:line="360" w:lineRule="auto"/>
    </w:pPr>
    <w:rPr>
      <w:rFonts w:ascii="Arial (W1)" w:hAnsi="Arial (W1)"/>
      <w:bCs/>
      <w:kern w:val="0"/>
      <w:sz w:val="24"/>
      <w:szCs w:val="24"/>
      <w:lang w:val="en-GB"/>
    </w:rPr>
  </w:style>
  <w:style w:type="paragraph" w:customStyle="1" w:styleId="10">
    <w:name w:val="列出段落1"/>
    <w:basedOn w:val="Normal"/>
    <w:link w:val="a22"/>
    <w:qFormat/>
    <w:pPr>
      <w:ind w:firstLine="420" w:firstLineChars="200"/>
    </w:pPr>
    <w:rPr>
      <w:rFonts w:cs="Calibri"/>
      <w:szCs w:val="21"/>
    </w:rPr>
  </w:style>
  <w:style w:type="paragraph" w:customStyle="1" w:styleId="5">
    <w:name w:val="5"/>
    <w:basedOn w:val="Normal"/>
    <w:qFormat/>
    <w:pPr>
      <w:autoSpaceDE w:val="0"/>
      <w:autoSpaceDN w:val="0"/>
      <w:adjustRightInd w:val="0"/>
      <w:jc w:val="left"/>
    </w:pPr>
    <w:rPr>
      <w:rFonts w:ascii="宋体" w:hAnsi="Times New Roman"/>
      <w:b/>
      <w:bCs/>
      <w:kern w:val="0"/>
      <w:sz w:val="18"/>
      <w:szCs w:val="18"/>
    </w:rPr>
  </w:style>
  <w:style w:type="paragraph" w:customStyle="1" w:styleId="Style28">
    <w:name w:val="_Style 28"/>
    <w:next w:val="Normal"/>
    <w:qFormat/>
    <w:pPr>
      <w:widowControl w:val="0"/>
      <w:jc w:val="both"/>
    </w:pPr>
    <w:rPr>
      <w:rFonts w:ascii="Calibri" w:eastAsia="宋体" w:hAnsi="Calibri" w:cs="Times New Roman"/>
      <w:kern w:val="2"/>
      <w:sz w:val="21"/>
      <w:szCs w:val="22"/>
      <w:lang w:val="en-US" w:eastAsia="zh-CN" w:bidi="ar-SA"/>
    </w:rPr>
  </w:style>
  <w:style w:type="paragraph" w:customStyle="1" w:styleId="a3">
    <w:name w:val="设计依据"/>
    <w:basedOn w:val="BodyText"/>
    <w:qFormat/>
    <w:pPr>
      <w:tabs>
        <w:tab w:val="left" w:pos="1440"/>
      </w:tabs>
      <w:adjustRightInd w:val="0"/>
      <w:ind w:left="1440" w:hanging="420"/>
      <w:textAlignment w:val="baseline"/>
    </w:pPr>
    <w:rPr>
      <w:rFonts w:ascii="宋体" w:hAnsi="宋体"/>
      <w:b w:val="0"/>
      <w:sz w:val="28"/>
      <w:szCs w:val="18"/>
    </w:rPr>
  </w:style>
  <w:style w:type="paragraph" w:styleId="ListParagraph">
    <w:name w:val="List Paragraph"/>
    <w:basedOn w:val="Normal"/>
    <w:uiPriority w:val="34"/>
    <w:qFormat/>
    <w:pPr>
      <w:ind w:firstLine="420" w:firstLineChars="200"/>
    </w:pPr>
  </w:style>
  <w:style w:type="paragraph" w:customStyle="1" w:styleId="style2">
    <w:name w:val="style2"/>
    <w:basedOn w:val="Normal"/>
    <w:qFormat/>
    <w:pPr>
      <w:widowControl/>
      <w:spacing w:before="100" w:beforeAutospacing="1" w:after="100" w:afterAutospacing="1"/>
      <w:jc w:val="left"/>
    </w:pPr>
    <w:rPr>
      <w:rFonts w:ascii="宋体" w:hAnsi="宋体" w:cs="宋体"/>
      <w:kern w:val="0"/>
      <w:sz w:val="18"/>
      <w:szCs w:val="18"/>
    </w:rPr>
  </w:style>
  <w:style w:type="paragraph" w:customStyle="1" w:styleId="---">
    <w:name w:val="--规划-小标题"/>
    <w:basedOn w:val="Normal"/>
    <w:next w:val="--"/>
    <w:qFormat/>
    <w:pPr>
      <w:keepNext/>
      <w:keepLines/>
      <w:spacing w:line="360" w:lineRule="auto"/>
      <w:outlineLvl w:val="4"/>
    </w:pPr>
    <w:rPr>
      <w:rFonts w:ascii="Times New Roman" w:eastAsia="黑体" w:hAnsi="Times New Roman"/>
      <w:szCs w:val="24"/>
    </w:rPr>
  </w:style>
  <w:style w:type="paragraph" w:customStyle="1" w:styleId="a4">
    <w:name w:val="自定义正文"/>
    <w:basedOn w:val="Normal"/>
    <w:qFormat/>
    <w:pPr>
      <w:spacing w:afterLines="50"/>
      <w:ind w:left="600" w:leftChars="600"/>
    </w:pPr>
    <w:rPr>
      <w:rFonts w:ascii="Times New Roman" w:hAnsi="Times New Roman"/>
      <w:szCs w:val="24"/>
    </w:rPr>
  </w:style>
  <w:style w:type="paragraph" w:customStyle="1" w:styleId="a5">
    <w:name w:val="段落正文"/>
    <w:basedOn w:val="PlainText"/>
    <w:qFormat/>
    <w:pPr>
      <w:ind w:firstLine="560" w:firstLineChars="200"/>
    </w:pPr>
    <w:rPr>
      <w:sz w:val="28"/>
    </w:rPr>
  </w:style>
  <w:style w:type="paragraph" w:customStyle="1" w:styleId="a6">
    <w:name w:val="封面文档标题"/>
    <w:basedOn w:val="Normal"/>
    <w:qFormat/>
    <w:pPr>
      <w:autoSpaceDE w:val="0"/>
      <w:autoSpaceDN w:val="0"/>
      <w:adjustRightInd w:val="0"/>
      <w:spacing w:line="360" w:lineRule="auto"/>
      <w:jc w:val="center"/>
    </w:pPr>
    <w:rPr>
      <w:rFonts w:ascii="Arial" w:hAnsi="Arial"/>
      <w:b/>
      <w:kern w:val="0"/>
      <w:sz w:val="56"/>
      <w:szCs w:val="24"/>
    </w:rPr>
  </w:style>
  <w:style w:type="paragraph" w:customStyle="1" w:styleId="----">
    <w:name w:val="--规划-表格-居中"/>
    <w:basedOn w:val="--"/>
    <w:qFormat/>
    <w:pPr>
      <w:spacing w:line="240" w:lineRule="auto"/>
      <w:ind w:firstLine="0" w:firstLineChars="0"/>
      <w:jc w:val="center"/>
    </w:pPr>
    <w:rPr>
      <w:sz w:val="20"/>
    </w:rPr>
  </w:style>
  <w:style w:type="paragraph" w:customStyle="1" w:styleId="CharCharCharChar">
    <w:name w:val="Char Char Char Char"/>
    <w:basedOn w:val="Normal"/>
    <w:qFormat/>
    <w:pPr>
      <w:widowControl/>
      <w:spacing w:after="160" w:line="240" w:lineRule="exact"/>
      <w:jc w:val="left"/>
    </w:pPr>
    <w:rPr>
      <w:rFonts w:ascii="Verdana" w:eastAsia="仿宋_GB2312" w:hAnsi="Verdana"/>
      <w:kern w:val="0"/>
      <w:sz w:val="24"/>
      <w:szCs w:val="20"/>
      <w:lang w:eastAsia="en-US"/>
    </w:rPr>
  </w:style>
  <w:style w:type="paragraph" w:customStyle="1" w:styleId="NormalParagraph">
    <w:name w:val="Normal Paragraph"/>
    <w:basedOn w:val="Normal"/>
    <w:qFormat/>
    <w:pPr>
      <w:widowControl/>
      <w:spacing w:before="120" w:line="360" w:lineRule="auto"/>
      <w:ind w:firstLine="425"/>
    </w:pPr>
    <w:rPr>
      <w:rFonts w:ascii="Times New Roman" w:hAnsi="Times New Roman"/>
      <w:kern w:val="0"/>
      <w:sz w:val="24"/>
      <w:szCs w:val="24"/>
    </w:rPr>
  </w:style>
  <w:style w:type="paragraph" w:customStyle="1" w:styleId="a7">
    <w:name w:val="正文文字缩进项目"/>
    <w:basedOn w:val="BodyTextIndent"/>
    <w:qFormat/>
    <w:pPr>
      <w:tabs>
        <w:tab w:val="left" w:pos="840"/>
      </w:tabs>
      <w:spacing w:after="120" w:line="240" w:lineRule="auto"/>
      <w:ind w:left="840" w:firstLine="0" w:firstLineChars="0"/>
    </w:pPr>
    <w:rPr>
      <w:rFonts w:ascii="Tahoma" w:hAnsi="Tahoma"/>
      <w:sz w:val="22"/>
      <w:szCs w:val="20"/>
    </w:rPr>
  </w:style>
  <w:style w:type="paragraph" w:customStyle="1" w:styleId="11">
    <w:name w:val="小标题 1"/>
    <w:basedOn w:val="Normal"/>
    <w:qFormat/>
    <w:pPr>
      <w:autoSpaceDE w:val="0"/>
      <w:autoSpaceDN w:val="0"/>
      <w:adjustRightInd w:val="0"/>
      <w:spacing w:line="360" w:lineRule="atLeast"/>
    </w:pPr>
    <w:rPr>
      <w:rFonts w:ascii="文鼎粗黑" w:eastAsia="文鼎粗黑" w:hAnsi="Times New Roman"/>
      <w:kern w:val="0"/>
      <w:sz w:val="22"/>
      <w:szCs w:val="20"/>
    </w:rPr>
  </w:style>
  <w:style w:type="paragraph" w:customStyle="1" w:styleId="2">
    <w:name w:val="样式2"/>
    <w:basedOn w:val="Title"/>
    <w:next w:val="12"/>
    <w:qFormat/>
    <w:pPr>
      <w:spacing w:before="120" w:after="120"/>
    </w:pPr>
    <w:rPr>
      <w:rFonts w:eastAsia="黑体"/>
      <w:b w:val="0"/>
      <w:sz w:val="30"/>
      <w:szCs w:val="30"/>
    </w:rPr>
  </w:style>
  <w:style w:type="paragraph" w:customStyle="1" w:styleId="12">
    <w:name w:val="样式1"/>
    <w:basedOn w:val="Title"/>
    <w:qFormat/>
    <w:pPr>
      <w:spacing w:before="120" w:after="120"/>
    </w:pPr>
    <w:rPr>
      <w:rFonts w:eastAsia="黑体"/>
      <w:b w:val="0"/>
      <w:sz w:val="30"/>
      <w:szCs w:val="21"/>
    </w:rPr>
  </w:style>
  <w:style w:type="paragraph" w:customStyle="1" w:styleId="41">
    <w:name w:val="样式41"/>
    <w:basedOn w:val="Normal"/>
    <w:qFormat/>
    <w:pPr>
      <w:tabs>
        <w:tab w:val="left" w:pos="945"/>
        <w:tab w:val="left" w:pos="2040"/>
      </w:tabs>
      <w:spacing w:line="360" w:lineRule="auto"/>
      <w:ind w:left="2040" w:hanging="360"/>
    </w:pPr>
    <w:rPr>
      <w:rFonts w:ascii="Times New Roman" w:hAnsi="Times New Roman"/>
      <w:b/>
      <w:color w:val="000000"/>
      <w:sz w:val="24"/>
      <w:szCs w:val="20"/>
    </w:rPr>
  </w:style>
  <w:style w:type="paragraph" w:customStyle="1" w:styleId="CharChar">
    <w:name w:val="Char Char"/>
    <w:basedOn w:val="Normal"/>
    <w:qFormat/>
    <w:rPr>
      <w:rFonts w:ascii="Tahoma" w:hAnsi="Tahoma"/>
      <w:sz w:val="24"/>
      <w:szCs w:val="20"/>
    </w:rPr>
  </w:style>
  <w:style w:type="paragraph" w:customStyle="1" w:styleId="TableContents">
    <w:name w:val="Table Contents"/>
    <w:basedOn w:val="Normal"/>
    <w:qFormat/>
    <w:pPr>
      <w:suppressAutoHyphens/>
      <w:autoSpaceDE w:val="0"/>
      <w:spacing w:after="120"/>
      <w:jc w:val="left"/>
    </w:pPr>
    <w:rPr>
      <w:rFonts w:ascii="Helvetica" w:hAnsi="Helvetica"/>
      <w:kern w:val="1"/>
      <w:sz w:val="20"/>
      <w:szCs w:val="20"/>
    </w:rPr>
  </w:style>
  <w:style w:type="paragraph" w:customStyle="1" w:styleId="CharCharChar">
    <w:name w:val="Char Char Char"/>
    <w:basedOn w:val="Normal"/>
    <w:qFormat/>
    <w:rPr>
      <w:rFonts w:ascii="Tahoma" w:hAnsi="Tahoma"/>
      <w:sz w:val="24"/>
      <w:szCs w:val="20"/>
    </w:rPr>
  </w:style>
  <w:style w:type="paragraph" w:customStyle="1" w:styleId="CharCharCharCharChar">
    <w:name w:val="Char Char Char Char Char"/>
    <w:basedOn w:val="Normal"/>
    <w:qFormat/>
    <w:rPr>
      <w:rFonts w:ascii="Tahoma" w:hAnsi="Tahoma"/>
      <w:sz w:val="24"/>
      <w:szCs w:val="20"/>
    </w:rPr>
  </w:style>
  <w:style w:type="paragraph" w:customStyle="1" w:styleId="a8">
    <w:name w:val="文档正文"/>
    <w:basedOn w:val="Normal"/>
    <w:qFormat/>
    <w:pPr>
      <w:adjustRightInd w:val="0"/>
      <w:spacing w:line="480" w:lineRule="atLeast"/>
      <w:ind w:firstLine="567" w:firstLineChars="200"/>
      <w:textAlignment w:val="baseline"/>
    </w:pPr>
    <w:rPr>
      <w:rFonts w:ascii="长城仿宋" w:hAnsi="Times New Roman"/>
      <w:kern w:val="0"/>
      <w:szCs w:val="20"/>
    </w:rPr>
  </w:style>
  <w:style w:type="paragraph" w:customStyle="1" w:styleId="USE1">
    <w:name w:val="USE 1"/>
    <w:basedOn w:val="Normal"/>
    <w:qFormat/>
    <w:pPr>
      <w:spacing w:line="200" w:lineRule="atLeast"/>
      <w:jc w:val="left"/>
    </w:pPr>
    <w:rPr>
      <w:rFonts w:ascii="宋体" w:hAnsi="宋体"/>
      <w:b/>
      <w:sz w:val="24"/>
      <w:szCs w:val="28"/>
    </w:rPr>
  </w:style>
  <w:style w:type="paragraph" w:customStyle="1" w:styleId="--0">
    <w:name w:val="--编号内缩进"/>
    <w:basedOn w:val="Normal"/>
    <w:qFormat/>
    <w:pPr>
      <w:spacing w:line="360" w:lineRule="auto"/>
      <w:ind w:left="420" w:firstLine="200" w:firstLineChars="200"/>
    </w:pPr>
    <w:rPr>
      <w:rFonts w:ascii="Times New Roman" w:hAnsi="Times New Roman"/>
      <w:szCs w:val="21"/>
    </w:rPr>
  </w:style>
  <w:style w:type="paragraph" w:customStyle="1" w:styleId="a9">
    <w:name w:val="图"/>
    <w:basedOn w:val="Normal"/>
    <w:uiPriority w:val="99"/>
    <w:qFormat/>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a10">
    <w:name w:val="È±Ê¡ÎÄ±¾"/>
    <w:basedOn w:val="Normal"/>
    <w:qFormat/>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6">
    <w:name w:val="6"/>
    <w:basedOn w:val="5"/>
    <w:qFormat/>
    <w:pPr>
      <w:spacing w:line="270" w:lineRule="atLeast"/>
      <w:jc w:val="both"/>
    </w:pPr>
    <w:rPr>
      <w:b w:val="0"/>
      <w:bCs w:val="0"/>
    </w:rPr>
  </w:style>
  <w:style w:type="paragraph" w:customStyle="1" w:styleId="CharCharCharCharCharChar1Char">
    <w:name w:val="Char Char Char Char Char Char1 Char"/>
    <w:basedOn w:val="Normal"/>
    <w:qFormat/>
    <w:pPr>
      <w:widowControl/>
      <w:spacing w:after="160" w:line="240" w:lineRule="exact"/>
      <w:jc w:val="left"/>
    </w:pPr>
    <w:rPr>
      <w:rFonts w:ascii="Verdana" w:hAnsi="Verdana"/>
      <w:kern w:val="0"/>
      <w:szCs w:val="20"/>
      <w:lang w:eastAsia="en-US"/>
    </w:rPr>
  </w:style>
  <w:style w:type="paragraph" w:customStyle="1" w:styleId="24">
    <w:name w:val="2册标题4"/>
    <w:basedOn w:val="Normal"/>
    <w:next w:val="Normal"/>
    <w:qFormat/>
    <w:pPr>
      <w:spacing w:beforeLines="50" w:afterLines="50" w:line="300" w:lineRule="auto"/>
      <w:ind w:left="420" w:leftChars="200"/>
      <w:outlineLvl w:val="3"/>
    </w:pPr>
    <w:rPr>
      <w:rFonts w:ascii="Arial" w:eastAsia="幼圆" w:hAnsi="Arial" w:cs="Arial"/>
      <w:b/>
      <w:sz w:val="24"/>
      <w:szCs w:val="24"/>
    </w:rPr>
  </w:style>
  <w:style w:type="paragraph" w:customStyle="1" w:styleId="----0">
    <w:name w:val="--规划-表格-居左"/>
    <w:basedOn w:val="--"/>
    <w:qFormat/>
    <w:pPr>
      <w:spacing w:line="240" w:lineRule="auto"/>
      <w:ind w:firstLine="0" w:firstLineChars="0"/>
    </w:pPr>
    <w:rPr>
      <w:sz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qFormat/>
    <w:pPr>
      <w:widowControl/>
      <w:spacing w:line="400" w:lineRule="exact"/>
      <w:jc w:val="center"/>
    </w:pPr>
    <w:rPr>
      <w:rFonts w:ascii="Verdana" w:hAnsi="Verdana"/>
      <w:kern w:val="0"/>
      <w:szCs w:val="20"/>
      <w:lang w:eastAsia="en-US"/>
    </w:rPr>
  </w:style>
  <w:style w:type="paragraph" w:customStyle="1" w:styleId="a11">
    <w:name w:val="方案要点"/>
    <w:basedOn w:val="Normal"/>
    <w:qFormat/>
    <w:pPr>
      <w:tabs>
        <w:tab w:val="left" w:pos="420"/>
      </w:tabs>
      <w:spacing w:line="360" w:lineRule="auto"/>
      <w:ind w:left="420" w:hanging="420"/>
    </w:pPr>
    <w:rPr>
      <w:rFonts w:ascii="仿宋_GB2312" w:eastAsia="仿宋_GB2312" w:hAnsi="宋体"/>
      <w:color w:val="000000"/>
      <w:sz w:val="28"/>
      <w:szCs w:val="28"/>
    </w:rPr>
  </w:style>
  <w:style w:type="paragraph" w:customStyle="1" w:styleId="---0">
    <w:name w:val="--规划-图和表"/>
    <w:next w:val="--"/>
    <w:qFormat/>
    <w:pPr>
      <w:jc w:val="center"/>
    </w:pPr>
    <w:rPr>
      <w:rFonts w:ascii="Times New Roman" w:eastAsia="宋体" w:hAnsi="Times New Roman" w:cs="Times New Roman"/>
      <w:kern w:val="2"/>
      <w:sz w:val="21"/>
      <w:lang w:val="en-US" w:eastAsia="zh-CN" w:bidi="ar-SA"/>
    </w:rPr>
  </w:style>
  <w:style w:type="paragraph" w:customStyle="1" w:styleId="Char115">
    <w:name w:val="Char1"/>
    <w:basedOn w:val="Normal"/>
    <w:qFormat/>
    <w:pPr>
      <w:jc w:val="left"/>
    </w:pPr>
    <w:rPr>
      <w:rFonts w:ascii="Tahoma" w:hAnsi="Tahoma"/>
      <w:sz w:val="24"/>
      <w:szCs w:val="20"/>
    </w:rPr>
  </w:style>
  <w:style w:type="paragraph" w:customStyle="1" w:styleId="a12">
    <w:name w:val="正文(首行缩进)"/>
    <w:qFormat/>
    <w:pPr>
      <w:spacing w:line="360" w:lineRule="auto"/>
      <w:ind w:firstLine="488" w:firstLineChars="200"/>
      <w:jc w:val="both"/>
    </w:pPr>
    <w:rPr>
      <w:rFonts w:ascii="Times New Roman" w:eastAsia="仿宋_GB2312" w:hAnsi="Times New Roman" w:cs="Times New Roman"/>
      <w:spacing w:val="2"/>
      <w:sz w:val="24"/>
      <w:szCs w:val="24"/>
      <w:lang w:val="en-US" w:eastAsia="zh-CN" w:bidi="ar-SA"/>
    </w:rPr>
  </w:style>
  <w:style w:type="paragraph" w:customStyle="1" w:styleId="9BOLD">
    <w:name w:val="汉仪细等线简9BOLD"/>
    <w:basedOn w:val="Normal"/>
    <w:qFormat/>
    <w:pPr>
      <w:autoSpaceDE w:val="0"/>
      <w:autoSpaceDN w:val="0"/>
      <w:adjustRightInd w:val="0"/>
      <w:spacing w:line="240" w:lineRule="atLeast"/>
    </w:pPr>
    <w:rPr>
      <w:rFonts w:ascii="汉仪细等线简" w:eastAsia="汉仪细等线简" w:hAnsi="Times New Roman"/>
      <w:b/>
      <w:bCs/>
      <w:kern w:val="0"/>
      <w:sz w:val="18"/>
      <w:szCs w:val="18"/>
    </w:rPr>
  </w:style>
  <w:style w:type="paragraph" w:customStyle="1" w:styleId="a13">
    <w:name w:val="列表项目"/>
    <w:basedOn w:val="Normal"/>
    <w:qFormat/>
    <w:pPr>
      <w:tabs>
        <w:tab w:val="left" w:pos="420"/>
        <w:tab w:val="left" w:pos="1080"/>
      </w:tabs>
      <w:spacing w:line="288" w:lineRule="auto"/>
      <w:ind w:left="1080" w:hanging="360"/>
    </w:pPr>
    <w:rPr>
      <w:rFonts w:ascii="Times New Roman" w:hAnsi="Times New Roman"/>
      <w:sz w:val="24"/>
      <w:szCs w:val="20"/>
    </w:rPr>
  </w:style>
  <w:style w:type="paragraph" w:customStyle="1" w:styleId="text1">
    <w:name w:val="text1"/>
    <w:basedOn w:val="Normal"/>
    <w:qFormat/>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pPr>
      <w:widowControl w:val="0"/>
      <w:autoSpaceDE w:val="0"/>
      <w:autoSpaceDN w:val="0"/>
      <w:adjustRightInd w:val="0"/>
    </w:pPr>
    <w:rPr>
      <w:rFonts w:ascii="H Yb 2gj" w:eastAsia="H Yb 2gj" w:hAnsi="Times New Roman" w:cs="H Yb 2gj"/>
      <w:color w:val="000000"/>
      <w:sz w:val="24"/>
      <w:szCs w:val="24"/>
      <w:lang w:val="en-US" w:eastAsia="zh-CN" w:bidi="ar-SA"/>
    </w:rPr>
  </w:style>
  <w:style w:type="character" w:customStyle="1" w:styleId="z-Char1">
    <w:name w:val="z-窗体顶端 Char1"/>
    <w:basedOn w:val="DefaultParagraphFont"/>
    <w:link w:val="z-1"/>
    <w:uiPriority w:val="99"/>
    <w:semiHidden/>
    <w:qFormat/>
    <w:rPr>
      <w:rFonts w:ascii="Arial" w:eastAsia="宋体" w:hAnsi="Arial" w:cs="Arial"/>
      <w:vanish/>
      <w:sz w:val="16"/>
      <w:szCs w:val="16"/>
    </w:rPr>
  </w:style>
  <w:style w:type="paragraph" w:customStyle="1" w:styleId="font0">
    <w:name w:val="font0"/>
    <w:basedOn w:val="Normal"/>
    <w:qFormat/>
    <w:pPr>
      <w:widowControl/>
      <w:spacing w:before="100" w:beforeAutospacing="1" w:after="100" w:afterAutospacing="1"/>
      <w:jc w:val="left"/>
    </w:pPr>
    <w:rPr>
      <w:rFonts w:ascii="宋体" w:hAnsi="宋体" w:hint="eastAsia"/>
      <w:kern w:val="0"/>
      <w:sz w:val="24"/>
      <w:szCs w:val="24"/>
    </w:rPr>
  </w:style>
  <w:style w:type="paragraph" w:customStyle="1" w:styleId="CharCharCharCharCharChar1CharCharCharCharCharCharCharCharCharCharCharCharChar">
    <w:name w:val="Char Char Char Char Char Char1 Char Char Char Char Char Char Char Char Char Char Char Char Char"/>
    <w:basedOn w:val="Normal"/>
    <w:qFormat/>
    <w:pPr>
      <w:widowControl/>
      <w:spacing w:after="160" w:line="240" w:lineRule="exact"/>
      <w:jc w:val="left"/>
    </w:pPr>
    <w:rPr>
      <w:rFonts w:ascii="Arial" w:eastAsia="Times New Roman" w:hAnsi="Arial" w:cs="Verdana"/>
      <w:b/>
      <w:kern w:val="0"/>
      <w:sz w:val="24"/>
      <w:szCs w:val="24"/>
      <w:lang w:eastAsia="en-US"/>
    </w:rPr>
  </w:style>
  <w:style w:type="paragraph" w:customStyle="1" w:styleId="xl28">
    <w:name w:val="xl28"/>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4">
    <w:name w:val="样式4"/>
    <w:basedOn w:val="Normal"/>
    <w:qFormat/>
    <w:pPr>
      <w:tabs>
        <w:tab w:val="left" w:pos="842"/>
      </w:tabs>
      <w:spacing w:line="360" w:lineRule="auto"/>
      <w:ind w:left="842" w:hanging="420"/>
    </w:pPr>
    <w:rPr>
      <w:rFonts w:ascii="Times New Roman" w:hAnsi="Times New Roman"/>
      <w:sz w:val="24"/>
      <w:szCs w:val="24"/>
    </w:rPr>
  </w:style>
  <w:style w:type="paragraph" w:customStyle="1" w:styleId="a14">
    <w:name w:val="文字"/>
    <w:basedOn w:val="Normal"/>
    <w:qFormat/>
    <w:pPr>
      <w:tabs>
        <w:tab w:val="left" w:pos="8520"/>
      </w:tabs>
      <w:spacing w:line="312" w:lineRule="auto"/>
      <w:ind w:right="-210" w:firstLine="556"/>
    </w:pPr>
    <w:rPr>
      <w:rFonts w:ascii="宋体" w:hAnsi="Times New Roman"/>
      <w:sz w:val="28"/>
      <w:szCs w:val="20"/>
    </w:rPr>
  </w:style>
  <w:style w:type="paragraph" w:customStyle="1" w:styleId="font5">
    <w:name w:val="font5"/>
    <w:basedOn w:val="Normal"/>
    <w:qFormat/>
    <w:pPr>
      <w:widowControl/>
      <w:spacing w:before="100" w:beforeAutospacing="1" w:after="100" w:afterAutospacing="1"/>
      <w:jc w:val="left"/>
    </w:pPr>
    <w:rPr>
      <w:rFonts w:ascii="宋体" w:hAnsi="宋体" w:hint="eastAsia"/>
      <w:kern w:val="0"/>
      <w:sz w:val="18"/>
      <w:szCs w:val="18"/>
    </w:rPr>
  </w:style>
  <w:style w:type="paragraph" w:customStyle="1" w:styleId="---1">
    <w:name w:val="--规划-题注"/>
    <w:basedOn w:val="Normal"/>
    <w:next w:val="--"/>
    <w:qFormat/>
    <w:pPr>
      <w:spacing w:line="360" w:lineRule="auto"/>
      <w:jc w:val="center"/>
    </w:pPr>
    <w:rPr>
      <w:rFonts w:ascii="Times New Roman" w:eastAsia="黑体" w:hAnsi="Times New Roman"/>
      <w:szCs w:val="24"/>
    </w:rPr>
  </w:style>
  <w:style w:type="paragraph" w:customStyle="1" w:styleId="font6">
    <w:name w:val="font6"/>
    <w:basedOn w:val="Normal"/>
    <w:qFormat/>
    <w:pPr>
      <w:widowControl/>
      <w:spacing w:before="100" w:beforeAutospacing="1" w:after="100" w:afterAutospacing="1"/>
      <w:jc w:val="left"/>
    </w:pPr>
    <w:rPr>
      <w:rFonts w:ascii="Times New Roman" w:hAnsi="Times New Roman"/>
      <w:kern w:val="0"/>
      <w:sz w:val="24"/>
      <w:szCs w:val="24"/>
    </w:rPr>
  </w:style>
  <w:style w:type="paragraph" w:customStyle="1" w:styleId="--Char">
    <w:name w:val="--规划正文 Char"/>
    <w:basedOn w:val="Normal"/>
    <w:qFormat/>
    <w:pPr>
      <w:spacing w:line="360" w:lineRule="auto"/>
      <w:ind w:firstLine="200" w:firstLineChars="200"/>
    </w:pPr>
    <w:rPr>
      <w:rFonts w:ascii="Times New Roman" w:hAnsi="Times New Roman"/>
      <w:sz w:val="24"/>
      <w:szCs w:val="24"/>
    </w:rPr>
  </w:style>
  <w:style w:type="paragraph" w:customStyle="1" w:styleId="a15">
    <w:name w:val="缺省文本"/>
    <w:basedOn w:val="Normal"/>
    <w:qFormat/>
    <w:pPr>
      <w:autoSpaceDE w:val="0"/>
      <w:autoSpaceDN w:val="0"/>
      <w:adjustRightInd w:val="0"/>
      <w:jc w:val="left"/>
    </w:pPr>
    <w:rPr>
      <w:rFonts w:ascii="Times New Roman" w:hAnsi="Times New Roman"/>
      <w:kern w:val="0"/>
      <w:szCs w:val="24"/>
    </w:rPr>
  </w:style>
  <w:style w:type="paragraph" w:customStyle="1" w:styleId="3">
    <w:name w:val="样式3"/>
    <w:basedOn w:val="Heading1"/>
    <w:qFormat/>
    <w:pPr>
      <w:tabs>
        <w:tab w:val="left" w:pos="420"/>
      </w:tabs>
      <w:spacing w:before="240" w:after="240" w:line="480" w:lineRule="auto"/>
      <w:ind w:left="420" w:right="210" w:hanging="420" w:rightChars="100"/>
      <w:jc w:val="left"/>
    </w:pPr>
    <w:rPr>
      <w:rFonts w:ascii="Times New Roman" w:hAnsi="Times New Roman"/>
      <w:sz w:val="32"/>
    </w:rPr>
  </w:style>
  <w:style w:type="paragraph" w:customStyle="1" w:styleId="xl24">
    <w:name w:val="xl24"/>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72">
    <w:name w:val="xl72"/>
    <w:basedOn w:val="Normal"/>
    <w:qFormat/>
    <w:pPr>
      <w:widowControl/>
      <w:spacing w:before="100" w:beforeAutospacing="1" w:after="100" w:afterAutospacing="1"/>
      <w:jc w:val="left"/>
    </w:pPr>
    <w:rPr>
      <w:rFonts w:ascii="宋体" w:hAnsi="宋体"/>
      <w:b/>
      <w:bCs/>
      <w:kern w:val="0"/>
      <w:sz w:val="28"/>
      <w:szCs w:val="28"/>
    </w:rPr>
  </w:style>
  <w:style w:type="paragraph" w:customStyle="1" w:styleId="7">
    <w:name w:val="7"/>
    <w:basedOn w:val="Normal"/>
    <w:qFormat/>
    <w:pPr>
      <w:autoSpaceDE w:val="0"/>
      <w:autoSpaceDN w:val="0"/>
      <w:adjustRightInd w:val="0"/>
      <w:spacing w:line="270" w:lineRule="atLeast"/>
      <w:jc w:val="left"/>
    </w:pPr>
    <w:rPr>
      <w:rFonts w:ascii="宋体" w:hAnsi="Times New Roman"/>
      <w:kern w:val="0"/>
      <w:sz w:val="18"/>
      <w:szCs w:val="18"/>
    </w:rPr>
  </w:style>
  <w:style w:type="paragraph" w:customStyle="1" w:styleId="Char23">
    <w:name w:val="正文(首行缩进) Char"/>
    <w:qFormat/>
    <w:pPr>
      <w:spacing w:before="120" w:after="60" w:line="360" w:lineRule="auto"/>
      <w:ind w:firstLine="200" w:firstLineChars="200"/>
    </w:pPr>
    <w:rPr>
      <w:rFonts w:ascii="Times New Roman" w:eastAsia="仿宋_GB2312" w:hAnsi="Times New Roman" w:cs="Times New Roman"/>
      <w:spacing w:val="2"/>
      <w:kern w:val="24"/>
      <w:sz w:val="24"/>
      <w:szCs w:val="24"/>
      <w:lang w:val="en-US" w:eastAsia="zh-CN" w:bidi="ar-SA"/>
    </w:rPr>
  </w:style>
  <w:style w:type="paragraph" w:customStyle="1" w:styleId="8">
    <w:name w:val="汉议细等线简8"/>
    <w:qFormat/>
    <w:pPr>
      <w:widowControl w:val="0"/>
      <w:autoSpaceDE w:val="0"/>
      <w:autoSpaceDN w:val="0"/>
      <w:adjustRightInd w:val="0"/>
      <w:spacing w:line="260" w:lineRule="atLeast"/>
      <w:jc w:val="both"/>
    </w:pPr>
    <w:rPr>
      <w:rFonts w:ascii="汉仪细等线简" w:eastAsia="汉仪细等线简" w:hAnsi="Times New Roman" w:cs="Times New Roman"/>
      <w:color w:val="000000"/>
      <w:sz w:val="16"/>
      <w:szCs w:val="16"/>
      <w:lang w:val="en-US" w:eastAsia="zh-CN" w:bidi="ar-SA"/>
    </w:rPr>
  </w:style>
  <w:style w:type="paragraph" w:customStyle="1" w:styleId="80">
    <w:name w:val="8"/>
    <w:basedOn w:val="Normal"/>
    <w:next w:val="BodyTextIndent"/>
    <w:qFormat/>
    <w:pPr>
      <w:spacing w:after="120"/>
      <w:ind w:left="420" w:leftChars="200"/>
    </w:pPr>
    <w:rPr>
      <w:rFonts w:ascii="Times New Roman" w:hAnsi="Times New Roman"/>
      <w:szCs w:val="24"/>
    </w:rPr>
  </w:style>
  <w:style w:type="paragraph" w:customStyle="1" w:styleId="a16">
    <w:name w:val="姜文清定义的正文"/>
    <w:basedOn w:val="Normal"/>
    <w:qFormat/>
    <w:pPr>
      <w:spacing w:line="240" w:lineRule="atLeast"/>
      <w:ind w:firstLine="567"/>
    </w:pPr>
    <w:rPr>
      <w:rFonts w:ascii="Times New Roman" w:hAnsi="Times New Roman"/>
      <w:szCs w:val="20"/>
    </w:rPr>
  </w:style>
  <w:style w:type="paragraph" w:customStyle="1" w:styleId="CM2">
    <w:name w:val="CM2"/>
    <w:basedOn w:val="Default"/>
    <w:next w:val="Default"/>
    <w:qFormat/>
    <w:pPr>
      <w:spacing w:line="200" w:lineRule="atLeast"/>
    </w:pPr>
    <w:rPr>
      <w:rFonts w:ascii="Arial" w:eastAsia="宋体" w:hAnsi="Arial" w:cs="Times New Roman"/>
      <w:color w:val="auto"/>
    </w:rPr>
  </w:style>
  <w:style w:type="character" w:customStyle="1" w:styleId="z-Char10">
    <w:name w:val="z-窗体底端 Char1"/>
    <w:basedOn w:val="DefaultParagraphFont"/>
    <w:link w:val="z-10"/>
    <w:uiPriority w:val="99"/>
    <w:semiHidden/>
    <w:qFormat/>
    <w:rPr>
      <w:rFonts w:ascii="Arial" w:eastAsia="宋体" w:hAnsi="Arial" w:cs="Arial"/>
      <w:vanish/>
      <w:sz w:val="16"/>
      <w:szCs w:val="16"/>
    </w:rPr>
  </w:style>
  <w:style w:type="paragraph" w:customStyle="1" w:styleId="a140">
    <w:name w:val="a14"/>
    <w:basedOn w:val="Normal"/>
    <w:qFormat/>
    <w:pPr>
      <w:widowControl/>
      <w:spacing w:before="100" w:beforeAutospacing="1" w:after="100" w:afterAutospacing="1" w:line="300" w:lineRule="atLeast"/>
      <w:ind w:firstLine="375"/>
      <w:jc w:val="left"/>
    </w:pPr>
    <w:rPr>
      <w:rFonts w:ascii="宋体" w:hAnsi="宋体" w:cs="宋体"/>
      <w:kern w:val="0"/>
      <w:szCs w:val="21"/>
    </w:rPr>
  </w:style>
  <w:style w:type="paragraph" w:customStyle="1" w:styleId="a17">
    <w:name w:val="正文样式"/>
    <w:basedOn w:val="Normal"/>
    <w:qFormat/>
    <w:pPr>
      <w:adjustRightInd w:val="0"/>
      <w:spacing w:line="400" w:lineRule="atLeast"/>
      <w:ind w:firstLine="570" w:firstLineChars="203"/>
      <w:textAlignment w:val="baseline"/>
    </w:pPr>
    <w:rPr>
      <w:rFonts w:ascii="Times New Roman" w:eastAsia="仿宋_GB2312" w:hAnsi="Times New Roman"/>
      <w:kern w:val="0"/>
      <w:sz w:val="28"/>
      <w:szCs w:val="20"/>
    </w:rPr>
  </w:style>
  <w:style w:type="paragraph" w:customStyle="1" w:styleId="xl25">
    <w:name w:val="xl25"/>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a18">
    <w:name w:val="表格字"/>
    <w:basedOn w:val="Normal"/>
    <w:qFormat/>
    <w:pPr>
      <w:adjustRightInd w:val="0"/>
      <w:jc w:val="center"/>
    </w:pPr>
    <w:rPr>
      <w:rFonts w:ascii="宋体" w:hAnsi="Times New Roman"/>
      <w:sz w:val="24"/>
      <w:szCs w:val="20"/>
    </w:rPr>
  </w:style>
  <w:style w:type="paragraph" w:customStyle="1" w:styleId="qw">
    <w:name w:val="qw"/>
    <w:qFormat/>
    <w:pPr>
      <w:widowControl w:val="0"/>
      <w:adjustRightInd w:val="0"/>
      <w:spacing w:line="312" w:lineRule="atLeast"/>
      <w:jc w:val="both"/>
      <w:textAlignment w:val="baseline"/>
    </w:pPr>
    <w:rPr>
      <w:rFonts w:ascii="宋体" w:eastAsia="宋体" w:hAnsi="Times New Roman" w:cs="Times New Roman"/>
      <w:sz w:val="24"/>
      <w:lang w:val="en-US" w:eastAsia="zh-CN" w:bidi="ar-SA"/>
    </w:rPr>
  </w:style>
  <w:style w:type="paragraph" w:customStyle="1" w:styleId="a19">
    <w:name w:val="评价"/>
    <w:basedOn w:val="Normal"/>
    <w:qFormat/>
    <w:pPr>
      <w:spacing w:afterLines="20"/>
      <w:ind w:firstLine="1446" w:firstLineChars="200"/>
    </w:pPr>
    <w:rPr>
      <w:sz w:val="24"/>
      <w:szCs w:val="24"/>
    </w:rPr>
  </w:style>
  <w:style w:type="paragraph" w:customStyle="1" w:styleId="13">
    <w:name w:val="修订1"/>
    <w:uiPriority w:val="99"/>
    <w:semiHidden/>
    <w:qFormat/>
    <w:rPr>
      <w:rFonts w:ascii="Times New Roman" w:eastAsia="宋体" w:hAnsi="Times New Roman" w:cs="Times New Roman"/>
      <w:kern w:val="2"/>
      <w:sz w:val="21"/>
      <w:szCs w:val="24"/>
      <w:lang w:val="en-US" w:eastAsia="zh-CN" w:bidi="ar-SA"/>
    </w:rPr>
  </w:style>
  <w:style w:type="paragraph" w:customStyle="1" w:styleId="a20">
    <w:name w:val="正文(缩进) 五号"/>
    <w:basedOn w:val="Normal"/>
    <w:qFormat/>
    <w:pPr>
      <w:widowControl/>
      <w:spacing w:after="120" w:line="360" w:lineRule="auto"/>
      <w:ind w:firstLine="420" w:firstLineChars="200"/>
      <w:jc w:val="left"/>
    </w:pPr>
    <w:rPr>
      <w:rFonts w:ascii="Arial" w:hAnsi="Arial" w:cs="宋体"/>
      <w:kern w:val="0"/>
      <w:szCs w:val="20"/>
    </w:rPr>
  </w:style>
  <w:style w:type="paragraph" w:customStyle="1" w:styleId="a21">
    <w:name w:val="封面标题"/>
    <w:basedOn w:val="Normal"/>
    <w:qFormat/>
    <w:pPr>
      <w:spacing w:line="360" w:lineRule="auto"/>
      <w:jc w:val="center"/>
    </w:pPr>
    <w:rPr>
      <w:rFonts w:ascii="Times New Roman" w:eastAsia="黑体" w:hAnsi="Times New Roman"/>
      <w:sz w:val="48"/>
      <w:szCs w:val="20"/>
    </w:rPr>
  </w:style>
  <w:style w:type="paragraph" w:customStyle="1" w:styleId="20">
    <w:name w:val="列出段落2"/>
    <w:basedOn w:val="Normal"/>
    <w:qFormat/>
    <w:pPr>
      <w:ind w:firstLine="420" w:firstLineChars="200"/>
    </w:pPr>
    <w:rPr>
      <w:szCs w:val="20"/>
    </w:rPr>
  </w:style>
  <w:style w:type="paragraph" w:styleId="NoSpacing">
    <w:name w:val="No Spacing"/>
    <w:uiPriority w:val="1"/>
    <w:qFormat/>
    <w:pPr>
      <w:widowControl w:val="0"/>
      <w:jc w:val="both"/>
    </w:pPr>
    <w:rPr>
      <w:rFonts w:ascii="Calibri" w:eastAsia="宋体" w:hAnsi="Calibri" w:cs="Times New Roman"/>
      <w:kern w:val="2"/>
      <w:sz w:val="21"/>
      <w:szCs w:val="22"/>
      <w:lang w:val="en-US" w:eastAsia="zh-CN" w:bidi="ar-SA"/>
    </w:rPr>
  </w:style>
  <w:style w:type="character" w:customStyle="1" w:styleId="font31">
    <w:name w:val="font31"/>
    <w:basedOn w:val="DefaultParagraphFont"/>
    <w:qFormat/>
    <w:rPr>
      <w:rFonts w:ascii="Times New Roman" w:hAnsi="Times New Roman" w:cs="Times New Roman" w:hint="default"/>
      <w:color w:val="000000"/>
      <w:sz w:val="21"/>
      <w:szCs w:val="21"/>
      <w:u w:val="none"/>
    </w:rPr>
  </w:style>
  <w:style w:type="character" w:customStyle="1" w:styleId="Char116">
    <w:name w:val="正文缩进 Char1"/>
    <w:qFormat/>
    <w:rPr>
      <w:rFonts w:eastAsia="宋体"/>
      <w:kern w:val="2"/>
      <w:sz w:val="21"/>
      <w:lang w:val="en-US" w:eastAsia="zh-CN" w:bidi="ar-SA"/>
    </w:rPr>
  </w:style>
  <w:style w:type="character" w:customStyle="1" w:styleId="a22">
    <w:name w:val="列表段落 字符"/>
    <w:link w:val="10"/>
    <w:qFormat/>
    <w:rPr>
      <w:rFonts w:ascii="Calibri" w:eastAsia="宋体" w:hAnsi="Calibri" w:cs="Calibri"/>
      <w:szCs w:val="21"/>
    </w:rPr>
  </w:style>
  <w:style w:type="paragraph" w:customStyle="1" w:styleId="xl75">
    <w:name w:val="xl75"/>
    <w:basedOn w:val="Normal"/>
    <w:qFormat/>
    <w:pPr>
      <w:widowControl/>
      <w:spacing w:before="100" w:beforeAutospacing="1" w:after="100" w:afterAutospacing="1"/>
      <w:jc w:val="center"/>
      <w:textAlignment w:val="center"/>
    </w:pPr>
    <w:rPr>
      <w:rFonts w:ascii="新宋体" w:eastAsia="新宋体" w:hAnsi="新宋体" w:cs="宋体"/>
      <w:kern w:val="0"/>
      <w:sz w:val="24"/>
      <w:szCs w:val="24"/>
    </w:rPr>
  </w:style>
  <w:style w:type="paragraph" w:customStyle="1" w:styleId="a23">
    <w:name w:val=".正文"/>
    <w:basedOn w:val="Normal"/>
    <w:qFormat/>
    <w:pPr>
      <w:spacing w:beforeLines="50"/>
      <w:ind w:firstLine="200" w:firstLineChars="200"/>
    </w:pPr>
    <w:rPr>
      <w:rFonts w:eastAsia="华文仿宋"/>
    </w:rPr>
  </w:style>
  <w:style w:type="character" w:customStyle="1" w:styleId="hover">
    <w:name w:val="hover"/>
    <w:basedOn w:val="DefaultParagraphFont"/>
    <w:qFormat/>
    <w:rPr>
      <w:color w:val="2590EB"/>
      <w:shd w:val="clear" w:color="auto" w:fill="E9F4FD"/>
    </w:rPr>
  </w:style>
  <w:style w:type="character" w:customStyle="1" w:styleId="hover1">
    <w:name w:val="hover1"/>
    <w:basedOn w:val="DefaultParagraphFont"/>
    <w:qFormat/>
  </w:style>
  <w:style w:type="character" w:customStyle="1" w:styleId="hover2">
    <w:name w:val="hover2"/>
    <w:basedOn w:val="DefaultParagraphFont"/>
    <w:qFormat/>
    <w:rPr>
      <w:color w:val="2590EB"/>
    </w:rPr>
  </w:style>
  <w:style w:type="character" w:customStyle="1" w:styleId="hover3">
    <w:name w:val="hover3"/>
    <w:basedOn w:val="DefaultParagraphFont"/>
    <w:qFormat/>
    <w:rPr>
      <w:color w:val="2590EB"/>
    </w:rPr>
  </w:style>
  <w:style w:type="character" w:customStyle="1" w:styleId="mini-outputtext1">
    <w:name w:val="mini-outputtext1"/>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footer" Target="footer1.xml"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76397</Words>
  <Characters>81169</Characters>
  <Application>Microsoft Office Word</Application>
  <DocSecurity>0</DocSecurity>
  <Lines>598</Lines>
  <Paragraphs>168</Paragraphs>
  <ScaleCrop>false</ScaleCrop>
  <Company>mycomputer</Company>
  <LinksUpToDate>false</LinksUpToDate>
  <CharactersWithSpaces>83704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中正招标李森创</cp:lastModifiedBy>
  <cp:revision>353</cp:revision>
  <cp:lastPrinted>2023-12-02T13:12:00Z</cp:lastPrinted>
  <dcterms:created xsi:type="dcterms:W3CDTF">2020-09-26T06:11:00Z</dcterms:created>
  <dcterms:modified xsi:type="dcterms:W3CDTF">2023-12-15T13:08:46Z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3F8CB30D18584407969953532A8BF4D8_13</vt:lpwstr>
  </property>
  <property fmtid="{D5CDD505-2E9C-101B-9397-08002B2CF9AE}" pid="3" name="KSOProductBuildVer">
    <vt:lpwstr>2052-12.1.0.15990</vt:lpwstr>
  </property>
</Properties>
</file>